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9A0F1" w14:textId="77777777" w:rsidR="00B47479" w:rsidRPr="0069036B" w:rsidRDefault="00846497" w:rsidP="005F0380">
      <w:pPr>
        <w:jc w:val="both"/>
        <w:rPr>
          <w:rFonts w:asciiTheme="majorHAnsi" w:hAnsiTheme="majorHAnsi"/>
        </w:rPr>
      </w:pPr>
      <w:r w:rsidRPr="0069036B">
        <w:rPr>
          <w:rFonts w:asciiTheme="majorHAnsi" w:hAnsiTheme="majorHAnsi"/>
          <w:noProof/>
        </w:rPr>
        <mc:AlternateContent>
          <mc:Choice Requires="wps">
            <w:drawing>
              <wp:anchor distT="0" distB="0" distL="114300" distR="114300" simplePos="0" relativeHeight="251653120" behindDoc="1" locked="0" layoutInCell="1" allowOverlap="1" wp14:anchorId="10C435A1" wp14:editId="524A0DC5">
                <wp:simplePos x="0" y="0"/>
                <wp:positionH relativeFrom="page">
                  <wp:posOffset>1418897</wp:posOffset>
                </wp:positionH>
                <wp:positionV relativeFrom="page">
                  <wp:posOffset>1466193</wp:posOffset>
                </wp:positionV>
                <wp:extent cx="5407572" cy="2412124"/>
                <wp:effectExtent l="0" t="0" r="3175" b="7620"/>
                <wp:wrapThrough wrapText="bothSides">
                  <wp:wrapPolygon edited="0">
                    <wp:start x="0" y="0"/>
                    <wp:lineTo x="0" y="21498"/>
                    <wp:lineTo x="21537" y="21498"/>
                    <wp:lineTo x="21537" y="0"/>
                    <wp:lineTo x="0" y="0"/>
                  </wp:wrapPolygon>
                </wp:wrapThrough>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7572" cy="2412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52D9A" w14:textId="370BAC5B" w:rsidR="00A32517" w:rsidRPr="00BF7A58" w:rsidRDefault="00213365" w:rsidP="008A08C3">
                            <w:pPr>
                              <w:spacing w:before="48" w:line="187" w:lineRule="auto"/>
                              <w:ind w:left="423" w:right="18" w:firstLine="78"/>
                              <w:jc w:val="right"/>
                              <w:rPr>
                                <w:rFonts w:eastAsia="Calibri" w:cs="Calibri"/>
                                <w:i/>
                                <w:smallCaps/>
                                <w:sz w:val="67"/>
                                <w:szCs w:val="67"/>
                              </w:rPr>
                            </w:pPr>
                            <w:r w:rsidRPr="00213365">
                              <w:rPr>
                                <w:i/>
                                <w:smallCaps/>
                                <w:color w:val="112269"/>
                                <w:spacing w:val="-1"/>
                                <w:sz w:val="67"/>
                                <w:szCs w:val="67"/>
                              </w:rPr>
                              <w:t>CEOE. Comentarios a la revisión puntual de la normativa de envases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435A1" id="_x0000_t202" coordsize="21600,21600" o:spt="202" path="m,l,21600r21600,l21600,xe">
                <v:stroke joinstyle="miter"/>
                <v:path gradientshapeok="t" o:connecttype="rect"/>
              </v:shapetype>
              <v:shape id="Cuadro de texto 6" o:spid="_x0000_s1026" type="#_x0000_t202" style="position:absolute;left:0;text-align:left;margin-left:111.7pt;margin-top:115.45pt;width:425.8pt;height:189.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" filled="f" stroked="f">
                <v:textbox inset="0,0,0,0">
                  <w:txbxContent>
                    <w:p w14:paraId="46052D9A" w14:textId="370BAC5B" w:rsidR="00A32517" w:rsidRPr="00BF7A58" w:rsidRDefault="00213365" w:rsidP="008A08C3">
                      <w:pPr>
                        <w:spacing w:before="48" w:line="187" w:lineRule="auto"/>
                        <w:ind w:left="423" w:right="18" w:firstLine="78"/>
                        <w:jc w:val="right"/>
                        <w:rPr>
                          <w:rFonts w:eastAsia="Calibri" w:cs="Calibri"/>
                          <w:i/>
                          <w:smallCaps/>
                          <w:sz w:val="67"/>
                          <w:szCs w:val="67"/>
                        </w:rPr>
                      </w:pPr>
                      <w:r w:rsidRPr="00213365">
                        <w:rPr>
                          <w:i/>
                          <w:smallCaps/>
                          <w:color w:val="112269"/>
                          <w:spacing w:val="-1"/>
                          <w:sz w:val="67"/>
                          <w:szCs w:val="67"/>
                        </w:rPr>
                        <w:t>CEOE. Comentarios a la revisión puntual de la normativa de envases</w:t>
                      </w:r>
                    </w:p>
                  </w:txbxContent>
                </v:textbox>
                <w10:wrap type="through" anchorx="page" anchory="page"/>
              </v:shape>
            </w:pict>
          </mc:Fallback>
        </mc:AlternateContent>
      </w:r>
    </w:p>
    <w:p w14:paraId="03CFFA66" w14:textId="77777777" w:rsidR="00B47479" w:rsidRPr="0069036B" w:rsidRDefault="00B47479" w:rsidP="005F0380">
      <w:pPr>
        <w:jc w:val="both"/>
        <w:rPr>
          <w:rFonts w:asciiTheme="majorHAnsi" w:hAnsiTheme="majorHAnsi"/>
        </w:rPr>
      </w:pPr>
    </w:p>
    <w:p w14:paraId="5CC5BB0C" w14:textId="77777777" w:rsidR="00B47479" w:rsidRPr="0069036B" w:rsidRDefault="00B47479" w:rsidP="005F0380">
      <w:pPr>
        <w:jc w:val="both"/>
        <w:rPr>
          <w:rFonts w:asciiTheme="majorHAnsi" w:hAnsiTheme="majorHAnsi"/>
        </w:rPr>
      </w:pPr>
    </w:p>
    <w:p w14:paraId="28A5AAB4" w14:textId="77777777" w:rsidR="00B47479" w:rsidRPr="0069036B" w:rsidRDefault="00B47479" w:rsidP="005F0380">
      <w:pPr>
        <w:jc w:val="both"/>
        <w:rPr>
          <w:rFonts w:asciiTheme="majorHAnsi" w:hAnsiTheme="majorHAnsi"/>
        </w:rPr>
      </w:pPr>
    </w:p>
    <w:p w14:paraId="76929214" w14:textId="77777777" w:rsidR="00B47479" w:rsidRPr="0069036B" w:rsidRDefault="00B47479" w:rsidP="005F0380">
      <w:pPr>
        <w:jc w:val="both"/>
        <w:rPr>
          <w:rFonts w:asciiTheme="majorHAnsi" w:hAnsiTheme="majorHAnsi"/>
        </w:rPr>
      </w:pPr>
    </w:p>
    <w:p w14:paraId="6FFB0F89" w14:textId="77777777" w:rsidR="00B47479" w:rsidRPr="0069036B" w:rsidRDefault="00B47479" w:rsidP="005F0380">
      <w:pPr>
        <w:jc w:val="both"/>
        <w:rPr>
          <w:rFonts w:asciiTheme="majorHAnsi" w:hAnsiTheme="majorHAnsi"/>
        </w:rPr>
      </w:pPr>
    </w:p>
    <w:p w14:paraId="0D8FE7CB" w14:textId="77777777" w:rsidR="00B47479" w:rsidRPr="0069036B" w:rsidRDefault="00B47479" w:rsidP="005F0380">
      <w:pPr>
        <w:jc w:val="both"/>
        <w:rPr>
          <w:rFonts w:asciiTheme="majorHAnsi" w:hAnsiTheme="majorHAnsi"/>
        </w:rPr>
      </w:pPr>
    </w:p>
    <w:p w14:paraId="64BC154F" w14:textId="77777777" w:rsidR="002443E6" w:rsidRPr="0069036B" w:rsidRDefault="002443E6" w:rsidP="005F0380">
      <w:pPr>
        <w:jc w:val="both"/>
        <w:rPr>
          <w:rFonts w:asciiTheme="majorHAnsi" w:hAnsiTheme="majorHAnsi"/>
          <w:noProof/>
        </w:rPr>
      </w:pPr>
    </w:p>
    <w:p w14:paraId="1E8A6B3E" w14:textId="77777777" w:rsidR="00B47479" w:rsidRPr="0069036B" w:rsidRDefault="0068772D" w:rsidP="005F0380">
      <w:pPr>
        <w:jc w:val="both"/>
        <w:rPr>
          <w:rFonts w:asciiTheme="majorHAnsi" w:hAnsiTheme="majorHAnsi"/>
        </w:rPr>
      </w:pPr>
      <w:r w:rsidRPr="0069036B">
        <w:rPr>
          <w:rFonts w:asciiTheme="majorHAnsi" w:hAnsiTheme="majorHAnsi"/>
          <w:noProof/>
        </w:rPr>
        <mc:AlternateContent>
          <mc:Choice Requires="wps">
            <w:drawing>
              <wp:anchor distT="0" distB="0" distL="114300" distR="114300" simplePos="0" relativeHeight="251659264" behindDoc="1" locked="0" layoutInCell="1" allowOverlap="1" wp14:anchorId="7DFF25D0" wp14:editId="405AA84E">
                <wp:simplePos x="0" y="0"/>
                <wp:positionH relativeFrom="page">
                  <wp:posOffset>1246505</wp:posOffset>
                </wp:positionH>
                <wp:positionV relativeFrom="page">
                  <wp:posOffset>5846445</wp:posOffset>
                </wp:positionV>
                <wp:extent cx="5499735" cy="4336415"/>
                <wp:effectExtent l="0" t="0" r="5715" b="6985"/>
                <wp:wrapThrough wrapText="bothSides">
                  <wp:wrapPolygon edited="0">
                    <wp:start x="0" y="0"/>
                    <wp:lineTo x="0" y="21540"/>
                    <wp:lineTo x="21548" y="21540"/>
                    <wp:lineTo x="21548" y="0"/>
                    <wp:lineTo x="0" y="0"/>
                  </wp:wrapPolygon>
                </wp:wrapThrough>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735" cy="433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B5A8E" w14:textId="20BF3861" w:rsidR="00ED6AC3" w:rsidRPr="00177E6E" w:rsidRDefault="00D4248F" w:rsidP="00ED6AC3">
                            <w:pPr>
                              <w:pStyle w:val="Textoindependiente"/>
                              <w:jc w:val="right"/>
                              <w:rPr>
                                <w:i/>
                                <w:color w:val="AA1A3F"/>
                                <w:sz w:val="30"/>
                                <w:szCs w:val="30"/>
                                <w:lang w:val="es-ES"/>
                              </w:rPr>
                            </w:pPr>
                            <w:proofErr w:type="spellStart"/>
                            <w:r w:rsidRPr="00D4248F">
                              <w:rPr>
                                <w:i/>
                                <w:color w:val="AA1A3F"/>
                                <w:sz w:val="30"/>
                                <w:szCs w:val="30"/>
                                <w:highlight w:val="yellow"/>
                                <w:lang w:val="es-ES"/>
                              </w:rPr>
                              <w:t>xx</w:t>
                            </w:r>
                            <w:proofErr w:type="spellEnd"/>
                            <w:r w:rsidR="00313D84" w:rsidRPr="00D4248F">
                              <w:rPr>
                                <w:i/>
                                <w:color w:val="AA1A3F"/>
                                <w:sz w:val="30"/>
                                <w:szCs w:val="30"/>
                                <w:highlight w:val="yellow"/>
                                <w:lang w:val="es-ES"/>
                              </w:rPr>
                              <w:t xml:space="preserve"> </w:t>
                            </w:r>
                            <w:r w:rsidRPr="00D4248F">
                              <w:rPr>
                                <w:i/>
                                <w:color w:val="AA1A3F"/>
                                <w:sz w:val="30"/>
                                <w:szCs w:val="30"/>
                                <w:highlight w:val="yellow"/>
                                <w:lang w:val="es-ES"/>
                              </w:rPr>
                              <w:t>octubre</w:t>
                            </w:r>
                            <w:r w:rsidR="00BF7A58" w:rsidRPr="00D4248F">
                              <w:rPr>
                                <w:i/>
                                <w:color w:val="AA1A3F"/>
                                <w:sz w:val="30"/>
                                <w:szCs w:val="30"/>
                                <w:highlight w:val="yellow"/>
                                <w:lang w:val="es-ES"/>
                              </w:rPr>
                              <w:t xml:space="preserve"> </w:t>
                            </w:r>
                            <w:r w:rsidR="00ED6AC3" w:rsidRPr="00D4248F">
                              <w:rPr>
                                <w:i/>
                                <w:color w:val="AA1A3F"/>
                                <w:sz w:val="30"/>
                                <w:szCs w:val="30"/>
                                <w:highlight w:val="yellow"/>
                                <w:lang w:val="es-ES"/>
                              </w:rPr>
                              <w:t>201</w:t>
                            </w:r>
                            <w:r w:rsidR="00BF7A58" w:rsidRPr="00D4248F">
                              <w:rPr>
                                <w:i/>
                                <w:color w:val="AA1A3F"/>
                                <w:sz w:val="30"/>
                                <w:szCs w:val="30"/>
                                <w:highlight w:val="yellow"/>
                                <w:lang w:val="es-ES"/>
                              </w:rPr>
                              <w:t>8</w:t>
                            </w:r>
                          </w:p>
                          <w:p w14:paraId="4A9DC231" w14:textId="77777777" w:rsidR="0068772D" w:rsidRPr="00177E6E" w:rsidRDefault="0068772D" w:rsidP="00ED6AC3">
                            <w:pPr>
                              <w:pStyle w:val="Textoindependiente"/>
                              <w:jc w:val="right"/>
                              <w:rPr>
                                <w:i/>
                                <w:color w:val="AA1A3F"/>
                                <w:sz w:val="30"/>
                                <w:szCs w:val="30"/>
                                <w:lang w:val="es-ES"/>
                              </w:rPr>
                            </w:pPr>
                          </w:p>
                          <w:p w14:paraId="212FAC04" w14:textId="77777777" w:rsidR="00B552C0" w:rsidRPr="00177E6E" w:rsidRDefault="00B552C0" w:rsidP="0068772D">
                            <w:pPr>
                              <w:jc w:val="right"/>
                              <w:rPr>
                                <w:rFonts w:asciiTheme="majorHAnsi" w:hAnsiTheme="majorHAnsi"/>
                                <w:b/>
                                <w:i/>
                                <w:color w:val="002060"/>
                                <w:sz w:val="32"/>
                                <w:szCs w:val="28"/>
                              </w:rPr>
                            </w:pPr>
                          </w:p>
                          <w:p w14:paraId="3CE6E39B" w14:textId="77777777" w:rsidR="00B552C0" w:rsidRPr="00177E6E" w:rsidRDefault="00B552C0" w:rsidP="0068772D">
                            <w:pPr>
                              <w:jc w:val="right"/>
                              <w:rPr>
                                <w:rFonts w:asciiTheme="majorHAnsi" w:hAnsiTheme="majorHAnsi"/>
                                <w:b/>
                                <w:i/>
                                <w:color w:val="002060"/>
                                <w:sz w:val="32"/>
                                <w:szCs w:val="28"/>
                              </w:rPr>
                            </w:pPr>
                          </w:p>
                          <w:p w14:paraId="00B67619" w14:textId="77777777" w:rsidR="00B552C0" w:rsidRDefault="00B552C0" w:rsidP="0068772D">
                            <w:pPr>
                              <w:jc w:val="right"/>
                              <w:rPr>
                                <w:rFonts w:asciiTheme="majorHAnsi" w:hAnsiTheme="majorHAnsi"/>
                                <w:b/>
                                <w:i/>
                                <w:color w:val="002060"/>
                                <w:sz w:val="32"/>
                                <w:szCs w:val="28"/>
                              </w:rPr>
                            </w:pPr>
                          </w:p>
                          <w:p w14:paraId="72DD46D0" w14:textId="77777777" w:rsidR="00177E6E" w:rsidRDefault="00177E6E" w:rsidP="0068772D">
                            <w:pPr>
                              <w:jc w:val="right"/>
                              <w:rPr>
                                <w:rFonts w:asciiTheme="majorHAnsi" w:hAnsiTheme="majorHAnsi"/>
                                <w:b/>
                                <w:i/>
                                <w:color w:val="002060"/>
                                <w:sz w:val="32"/>
                                <w:szCs w:val="28"/>
                              </w:rPr>
                            </w:pPr>
                          </w:p>
                          <w:p w14:paraId="2DF2A070" w14:textId="77777777" w:rsidR="00177E6E" w:rsidRDefault="00177E6E" w:rsidP="0068772D">
                            <w:pPr>
                              <w:jc w:val="right"/>
                              <w:rPr>
                                <w:rFonts w:asciiTheme="majorHAnsi" w:hAnsiTheme="majorHAnsi"/>
                                <w:b/>
                                <w:i/>
                                <w:color w:val="002060"/>
                                <w:sz w:val="32"/>
                                <w:szCs w:val="28"/>
                              </w:rPr>
                            </w:pPr>
                          </w:p>
                          <w:p w14:paraId="5001A5E7" w14:textId="77777777" w:rsidR="00177E6E" w:rsidRPr="00177E6E" w:rsidRDefault="00177E6E" w:rsidP="0068772D">
                            <w:pPr>
                              <w:jc w:val="right"/>
                              <w:rPr>
                                <w:rFonts w:asciiTheme="majorHAnsi" w:hAnsiTheme="majorHAnsi"/>
                                <w:b/>
                                <w:i/>
                                <w:color w:val="002060"/>
                                <w:sz w:val="32"/>
                                <w:szCs w:val="28"/>
                              </w:rPr>
                            </w:pPr>
                          </w:p>
                          <w:p w14:paraId="6A46781D" w14:textId="77777777" w:rsidR="00177E6E" w:rsidRDefault="00177E6E" w:rsidP="00177E6E">
                            <w:pPr>
                              <w:jc w:val="right"/>
                              <w:rPr>
                                <w:rFonts w:asciiTheme="majorHAnsi" w:hAnsiTheme="majorHAnsi"/>
                                <w:b/>
                                <w:i/>
                                <w:color w:val="002060"/>
                                <w:sz w:val="32"/>
                                <w:szCs w:val="28"/>
                              </w:rPr>
                            </w:pPr>
                            <w:r>
                              <w:rPr>
                                <w:rFonts w:asciiTheme="majorHAnsi" w:hAnsiTheme="majorHAnsi"/>
                                <w:b/>
                                <w:i/>
                                <w:color w:val="002060"/>
                                <w:sz w:val="32"/>
                                <w:szCs w:val="28"/>
                              </w:rPr>
                              <w:t xml:space="preserve">Departamento de Asuntos </w:t>
                            </w:r>
                            <w:r w:rsidRPr="00304A27">
                              <w:rPr>
                                <w:rFonts w:asciiTheme="majorHAnsi" w:hAnsiTheme="majorHAnsi"/>
                                <w:b/>
                                <w:i/>
                                <w:color w:val="002060"/>
                                <w:sz w:val="32"/>
                                <w:szCs w:val="28"/>
                              </w:rPr>
                              <w:t xml:space="preserve">Económicos y </w:t>
                            </w:r>
                            <w:proofErr w:type="gramStart"/>
                            <w:r w:rsidRPr="00304A27">
                              <w:rPr>
                                <w:rFonts w:asciiTheme="majorHAnsi" w:hAnsiTheme="majorHAnsi"/>
                                <w:b/>
                                <w:i/>
                                <w:color w:val="002060"/>
                                <w:sz w:val="32"/>
                                <w:szCs w:val="28"/>
                              </w:rPr>
                              <w:t>Europeos</w:t>
                            </w:r>
                            <w:proofErr w:type="gramEnd"/>
                          </w:p>
                          <w:p w14:paraId="2C7AF1A3" w14:textId="77777777" w:rsidR="00177E6E" w:rsidRDefault="00177E6E" w:rsidP="00177E6E">
                            <w:pPr>
                              <w:jc w:val="right"/>
                              <w:rPr>
                                <w:rFonts w:asciiTheme="majorHAnsi" w:hAnsiTheme="majorHAnsi"/>
                                <w:b/>
                                <w:i/>
                                <w:color w:val="002060"/>
                                <w:sz w:val="32"/>
                                <w:szCs w:val="28"/>
                              </w:rPr>
                            </w:pPr>
                          </w:p>
                          <w:p w14:paraId="0394D2C9" w14:textId="77777777" w:rsidR="00177E6E" w:rsidRDefault="00177E6E" w:rsidP="00177E6E">
                            <w:pPr>
                              <w:jc w:val="right"/>
                              <w:rPr>
                                <w:rFonts w:asciiTheme="majorHAnsi" w:hAnsiTheme="majorHAnsi"/>
                                <w:b/>
                                <w:i/>
                                <w:color w:val="002060"/>
                                <w:sz w:val="32"/>
                                <w:szCs w:val="28"/>
                              </w:rPr>
                            </w:pPr>
                          </w:p>
                          <w:p w14:paraId="7F6710F4" w14:textId="77777777" w:rsidR="00FF14FE" w:rsidRPr="00177E6E" w:rsidRDefault="00FF14FE" w:rsidP="00FF14FE">
                            <w:pPr>
                              <w:jc w:val="right"/>
                              <w:rPr>
                                <w:rFonts w:asciiTheme="majorHAnsi" w:hAnsiTheme="majorHAnsi"/>
                                <w:b/>
                                <w:i/>
                                <w:color w:val="002060"/>
                                <w:sz w:val="32"/>
                                <w:szCs w:val="28"/>
                              </w:rPr>
                            </w:pPr>
                          </w:p>
                          <w:p w14:paraId="300259BA" w14:textId="77777777" w:rsidR="00FF14FE" w:rsidRPr="002443E6" w:rsidRDefault="00177E6E" w:rsidP="00FF14FE">
                            <w:pPr>
                              <w:jc w:val="right"/>
                              <w:rPr>
                                <w:rFonts w:asciiTheme="majorHAnsi" w:hAnsiTheme="majorHAnsi"/>
                                <w:b/>
                                <w:i/>
                                <w:color w:val="002060"/>
                                <w:sz w:val="32"/>
                                <w:szCs w:val="28"/>
                              </w:rPr>
                            </w:pPr>
                            <w:r>
                              <w:rPr>
                                <w:rFonts w:asciiTheme="majorHAnsi" w:hAnsiTheme="majorHAnsi"/>
                                <w:b/>
                                <w:i/>
                                <w:noProof/>
                                <w:color w:val="002060"/>
                                <w:sz w:val="32"/>
                                <w:szCs w:val="28"/>
                              </w:rPr>
                              <w:drawing>
                                <wp:inline distT="0" distB="0" distL="0" distR="0" wp14:anchorId="1D7EFCFC" wp14:editId="2BBC03D9">
                                  <wp:extent cx="2291080" cy="8388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1080" cy="838835"/>
                                          </a:xfrm>
                                          <a:prstGeom prst="rect">
                                            <a:avLst/>
                                          </a:prstGeom>
                                          <a:noFill/>
                                          <a:ln>
                                            <a:noFill/>
                                          </a:ln>
                                        </pic:spPr>
                                      </pic:pic>
                                    </a:graphicData>
                                  </a:graphic>
                                </wp:inline>
                              </w:drawing>
                            </w:r>
                          </w:p>
                          <w:p w14:paraId="6538FC6D" w14:textId="77777777" w:rsidR="0068772D" w:rsidRDefault="0068772D" w:rsidP="0068772D">
                            <w:pPr>
                              <w:jc w:val="right"/>
                              <w:rPr>
                                <w:rFonts w:asciiTheme="majorHAnsi" w:hAnsiTheme="majorHAnsi"/>
                                <w:b/>
                                <w:i/>
                                <w:color w:val="002060"/>
                                <w:sz w:val="32"/>
                                <w:szCs w:val="28"/>
                              </w:rPr>
                            </w:pPr>
                          </w:p>
                          <w:p w14:paraId="5638C2DB" w14:textId="77777777" w:rsidR="0068772D" w:rsidRDefault="0068772D" w:rsidP="0068772D">
                            <w:pPr>
                              <w:jc w:val="right"/>
                              <w:rPr>
                                <w:rFonts w:asciiTheme="majorHAnsi" w:hAnsiTheme="majorHAnsi"/>
                                <w:b/>
                                <w:i/>
                                <w:color w:val="002060"/>
                                <w:sz w:val="32"/>
                                <w:szCs w:val="28"/>
                              </w:rPr>
                            </w:pPr>
                          </w:p>
                          <w:p w14:paraId="5A981C8E" w14:textId="77777777" w:rsidR="0068772D" w:rsidRPr="00AC4A5B" w:rsidRDefault="0068772D" w:rsidP="00ED6AC3">
                            <w:pPr>
                              <w:pStyle w:val="Textoindependiente"/>
                              <w:jc w:val="right"/>
                              <w:rPr>
                                <w:i/>
                                <w:color w:val="AA1A3F"/>
                                <w:sz w:val="30"/>
                                <w:szCs w:val="30"/>
                                <w:lang w:val="es-ES"/>
                              </w:rPr>
                            </w:pPr>
                          </w:p>
                          <w:p w14:paraId="188C5AFD" w14:textId="77777777" w:rsidR="00A32517" w:rsidRPr="002443E6" w:rsidRDefault="00A32517" w:rsidP="00ED6AC3">
                            <w:pPr>
                              <w:contextualSpacing/>
                              <w:jc w:val="right"/>
                              <w:rPr>
                                <w:i/>
                                <w:sz w:val="30"/>
                                <w:szCs w:val="3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F25D0" id="Cuadro de texto 26" o:spid="_x0000_s1027" type="#_x0000_t202" style="position:absolute;left:0;text-align:left;margin-left:98.15pt;margin-top:460.35pt;width:433.05pt;height:341.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" filled="f" stroked="f">
                <v:textbox inset="0,0,0,0">
                  <w:txbxContent>
                    <w:p w14:paraId="2C0B5A8E" w14:textId="20BF3861" w:rsidR="00ED6AC3" w:rsidRPr="00177E6E" w:rsidRDefault="00D4248F" w:rsidP="00ED6AC3">
                      <w:pPr>
                        <w:pStyle w:val="Textoindependiente"/>
                        <w:jc w:val="right"/>
                        <w:rPr>
                          <w:i/>
                          <w:color w:val="AA1A3F"/>
                          <w:sz w:val="30"/>
                          <w:szCs w:val="30"/>
                          <w:lang w:val="es-ES"/>
                        </w:rPr>
                      </w:pPr>
                      <w:proofErr w:type="spellStart"/>
                      <w:r w:rsidRPr="00D4248F">
                        <w:rPr>
                          <w:i/>
                          <w:color w:val="AA1A3F"/>
                          <w:sz w:val="30"/>
                          <w:szCs w:val="30"/>
                          <w:highlight w:val="yellow"/>
                          <w:lang w:val="es-ES"/>
                        </w:rPr>
                        <w:t>xx</w:t>
                      </w:r>
                      <w:proofErr w:type="spellEnd"/>
                      <w:r w:rsidR="00313D84" w:rsidRPr="00D4248F">
                        <w:rPr>
                          <w:i/>
                          <w:color w:val="AA1A3F"/>
                          <w:sz w:val="30"/>
                          <w:szCs w:val="30"/>
                          <w:highlight w:val="yellow"/>
                          <w:lang w:val="es-ES"/>
                        </w:rPr>
                        <w:t xml:space="preserve"> </w:t>
                      </w:r>
                      <w:r w:rsidRPr="00D4248F">
                        <w:rPr>
                          <w:i/>
                          <w:color w:val="AA1A3F"/>
                          <w:sz w:val="30"/>
                          <w:szCs w:val="30"/>
                          <w:highlight w:val="yellow"/>
                          <w:lang w:val="es-ES"/>
                        </w:rPr>
                        <w:t>octubre</w:t>
                      </w:r>
                      <w:r w:rsidR="00BF7A58" w:rsidRPr="00D4248F">
                        <w:rPr>
                          <w:i/>
                          <w:color w:val="AA1A3F"/>
                          <w:sz w:val="30"/>
                          <w:szCs w:val="30"/>
                          <w:highlight w:val="yellow"/>
                          <w:lang w:val="es-ES"/>
                        </w:rPr>
                        <w:t xml:space="preserve"> </w:t>
                      </w:r>
                      <w:r w:rsidR="00ED6AC3" w:rsidRPr="00D4248F">
                        <w:rPr>
                          <w:i/>
                          <w:color w:val="AA1A3F"/>
                          <w:sz w:val="30"/>
                          <w:szCs w:val="30"/>
                          <w:highlight w:val="yellow"/>
                          <w:lang w:val="es-ES"/>
                        </w:rPr>
                        <w:t>201</w:t>
                      </w:r>
                      <w:r w:rsidR="00BF7A58" w:rsidRPr="00D4248F">
                        <w:rPr>
                          <w:i/>
                          <w:color w:val="AA1A3F"/>
                          <w:sz w:val="30"/>
                          <w:szCs w:val="30"/>
                          <w:highlight w:val="yellow"/>
                          <w:lang w:val="es-ES"/>
                        </w:rPr>
                        <w:t>8</w:t>
                      </w:r>
                    </w:p>
                    <w:p w14:paraId="4A9DC231" w14:textId="77777777" w:rsidR="0068772D" w:rsidRPr="00177E6E" w:rsidRDefault="0068772D" w:rsidP="00ED6AC3">
                      <w:pPr>
                        <w:pStyle w:val="Textoindependiente"/>
                        <w:jc w:val="right"/>
                        <w:rPr>
                          <w:i/>
                          <w:color w:val="AA1A3F"/>
                          <w:sz w:val="30"/>
                          <w:szCs w:val="30"/>
                          <w:lang w:val="es-ES"/>
                        </w:rPr>
                      </w:pPr>
                    </w:p>
                    <w:p w14:paraId="212FAC04" w14:textId="77777777" w:rsidR="00B552C0" w:rsidRPr="00177E6E" w:rsidRDefault="00B552C0" w:rsidP="0068772D">
                      <w:pPr>
                        <w:jc w:val="right"/>
                        <w:rPr>
                          <w:rFonts w:asciiTheme="majorHAnsi" w:hAnsiTheme="majorHAnsi"/>
                          <w:b/>
                          <w:i/>
                          <w:color w:val="002060"/>
                          <w:sz w:val="32"/>
                          <w:szCs w:val="28"/>
                        </w:rPr>
                      </w:pPr>
                    </w:p>
                    <w:p w14:paraId="3CE6E39B" w14:textId="77777777" w:rsidR="00B552C0" w:rsidRPr="00177E6E" w:rsidRDefault="00B552C0" w:rsidP="0068772D">
                      <w:pPr>
                        <w:jc w:val="right"/>
                        <w:rPr>
                          <w:rFonts w:asciiTheme="majorHAnsi" w:hAnsiTheme="majorHAnsi"/>
                          <w:b/>
                          <w:i/>
                          <w:color w:val="002060"/>
                          <w:sz w:val="32"/>
                          <w:szCs w:val="28"/>
                        </w:rPr>
                      </w:pPr>
                    </w:p>
                    <w:p w14:paraId="00B67619" w14:textId="77777777" w:rsidR="00B552C0" w:rsidRDefault="00B552C0" w:rsidP="0068772D">
                      <w:pPr>
                        <w:jc w:val="right"/>
                        <w:rPr>
                          <w:rFonts w:asciiTheme="majorHAnsi" w:hAnsiTheme="majorHAnsi"/>
                          <w:b/>
                          <w:i/>
                          <w:color w:val="002060"/>
                          <w:sz w:val="32"/>
                          <w:szCs w:val="28"/>
                        </w:rPr>
                      </w:pPr>
                    </w:p>
                    <w:p w14:paraId="72DD46D0" w14:textId="77777777" w:rsidR="00177E6E" w:rsidRDefault="00177E6E" w:rsidP="0068772D">
                      <w:pPr>
                        <w:jc w:val="right"/>
                        <w:rPr>
                          <w:rFonts w:asciiTheme="majorHAnsi" w:hAnsiTheme="majorHAnsi"/>
                          <w:b/>
                          <w:i/>
                          <w:color w:val="002060"/>
                          <w:sz w:val="32"/>
                          <w:szCs w:val="28"/>
                        </w:rPr>
                      </w:pPr>
                    </w:p>
                    <w:p w14:paraId="2DF2A070" w14:textId="77777777" w:rsidR="00177E6E" w:rsidRDefault="00177E6E" w:rsidP="0068772D">
                      <w:pPr>
                        <w:jc w:val="right"/>
                        <w:rPr>
                          <w:rFonts w:asciiTheme="majorHAnsi" w:hAnsiTheme="majorHAnsi"/>
                          <w:b/>
                          <w:i/>
                          <w:color w:val="002060"/>
                          <w:sz w:val="32"/>
                          <w:szCs w:val="28"/>
                        </w:rPr>
                      </w:pPr>
                    </w:p>
                    <w:p w14:paraId="5001A5E7" w14:textId="77777777" w:rsidR="00177E6E" w:rsidRPr="00177E6E" w:rsidRDefault="00177E6E" w:rsidP="0068772D">
                      <w:pPr>
                        <w:jc w:val="right"/>
                        <w:rPr>
                          <w:rFonts w:asciiTheme="majorHAnsi" w:hAnsiTheme="majorHAnsi"/>
                          <w:b/>
                          <w:i/>
                          <w:color w:val="002060"/>
                          <w:sz w:val="32"/>
                          <w:szCs w:val="28"/>
                        </w:rPr>
                      </w:pPr>
                    </w:p>
                    <w:p w14:paraId="6A46781D" w14:textId="77777777" w:rsidR="00177E6E" w:rsidRDefault="00177E6E" w:rsidP="00177E6E">
                      <w:pPr>
                        <w:jc w:val="right"/>
                        <w:rPr>
                          <w:rFonts w:asciiTheme="majorHAnsi" w:hAnsiTheme="majorHAnsi"/>
                          <w:b/>
                          <w:i/>
                          <w:color w:val="002060"/>
                          <w:sz w:val="32"/>
                          <w:szCs w:val="28"/>
                        </w:rPr>
                      </w:pPr>
                      <w:r>
                        <w:rPr>
                          <w:rFonts w:asciiTheme="majorHAnsi" w:hAnsiTheme="majorHAnsi"/>
                          <w:b/>
                          <w:i/>
                          <w:color w:val="002060"/>
                          <w:sz w:val="32"/>
                          <w:szCs w:val="28"/>
                        </w:rPr>
                        <w:t xml:space="preserve">Departamento de Asuntos </w:t>
                      </w:r>
                      <w:r w:rsidRPr="00304A27">
                        <w:rPr>
                          <w:rFonts w:asciiTheme="majorHAnsi" w:hAnsiTheme="majorHAnsi"/>
                          <w:b/>
                          <w:i/>
                          <w:color w:val="002060"/>
                          <w:sz w:val="32"/>
                          <w:szCs w:val="28"/>
                        </w:rPr>
                        <w:t xml:space="preserve">Económicos y </w:t>
                      </w:r>
                      <w:proofErr w:type="gramStart"/>
                      <w:r w:rsidRPr="00304A27">
                        <w:rPr>
                          <w:rFonts w:asciiTheme="majorHAnsi" w:hAnsiTheme="majorHAnsi"/>
                          <w:b/>
                          <w:i/>
                          <w:color w:val="002060"/>
                          <w:sz w:val="32"/>
                          <w:szCs w:val="28"/>
                        </w:rPr>
                        <w:t>Europeos</w:t>
                      </w:r>
                      <w:proofErr w:type="gramEnd"/>
                    </w:p>
                    <w:p w14:paraId="2C7AF1A3" w14:textId="77777777" w:rsidR="00177E6E" w:rsidRDefault="00177E6E" w:rsidP="00177E6E">
                      <w:pPr>
                        <w:jc w:val="right"/>
                        <w:rPr>
                          <w:rFonts w:asciiTheme="majorHAnsi" w:hAnsiTheme="majorHAnsi"/>
                          <w:b/>
                          <w:i/>
                          <w:color w:val="002060"/>
                          <w:sz w:val="32"/>
                          <w:szCs w:val="28"/>
                        </w:rPr>
                      </w:pPr>
                    </w:p>
                    <w:p w14:paraId="0394D2C9" w14:textId="77777777" w:rsidR="00177E6E" w:rsidRDefault="00177E6E" w:rsidP="00177E6E">
                      <w:pPr>
                        <w:jc w:val="right"/>
                        <w:rPr>
                          <w:rFonts w:asciiTheme="majorHAnsi" w:hAnsiTheme="majorHAnsi"/>
                          <w:b/>
                          <w:i/>
                          <w:color w:val="002060"/>
                          <w:sz w:val="32"/>
                          <w:szCs w:val="28"/>
                        </w:rPr>
                      </w:pPr>
                    </w:p>
                    <w:p w14:paraId="7F6710F4" w14:textId="77777777" w:rsidR="00FF14FE" w:rsidRPr="00177E6E" w:rsidRDefault="00FF14FE" w:rsidP="00FF14FE">
                      <w:pPr>
                        <w:jc w:val="right"/>
                        <w:rPr>
                          <w:rFonts w:asciiTheme="majorHAnsi" w:hAnsiTheme="majorHAnsi"/>
                          <w:b/>
                          <w:i/>
                          <w:color w:val="002060"/>
                          <w:sz w:val="32"/>
                          <w:szCs w:val="28"/>
                        </w:rPr>
                      </w:pPr>
                    </w:p>
                    <w:p w14:paraId="300259BA" w14:textId="77777777" w:rsidR="00FF14FE" w:rsidRPr="002443E6" w:rsidRDefault="00177E6E" w:rsidP="00FF14FE">
                      <w:pPr>
                        <w:jc w:val="right"/>
                        <w:rPr>
                          <w:rFonts w:asciiTheme="majorHAnsi" w:hAnsiTheme="majorHAnsi"/>
                          <w:b/>
                          <w:i/>
                          <w:color w:val="002060"/>
                          <w:sz w:val="32"/>
                          <w:szCs w:val="28"/>
                        </w:rPr>
                      </w:pPr>
                      <w:r>
                        <w:rPr>
                          <w:rFonts w:asciiTheme="majorHAnsi" w:hAnsiTheme="majorHAnsi"/>
                          <w:b/>
                          <w:i/>
                          <w:noProof/>
                          <w:color w:val="002060"/>
                          <w:sz w:val="32"/>
                          <w:szCs w:val="28"/>
                        </w:rPr>
                        <w:drawing>
                          <wp:inline distT="0" distB="0" distL="0" distR="0" wp14:anchorId="1D7EFCFC" wp14:editId="2BBC03D9">
                            <wp:extent cx="2291080" cy="8388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1080" cy="838835"/>
                                    </a:xfrm>
                                    <a:prstGeom prst="rect">
                                      <a:avLst/>
                                    </a:prstGeom>
                                    <a:noFill/>
                                    <a:ln>
                                      <a:noFill/>
                                    </a:ln>
                                  </pic:spPr>
                                </pic:pic>
                              </a:graphicData>
                            </a:graphic>
                          </wp:inline>
                        </w:drawing>
                      </w:r>
                    </w:p>
                    <w:p w14:paraId="6538FC6D" w14:textId="77777777" w:rsidR="0068772D" w:rsidRDefault="0068772D" w:rsidP="0068772D">
                      <w:pPr>
                        <w:jc w:val="right"/>
                        <w:rPr>
                          <w:rFonts w:asciiTheme="majorHAnsi" w:hAnsiTheme="majorHAnsi"/>
                          <w:b/>
                          <w:i/>
                          <w:color w:val="002060"/>
                          <w:sz w:val="32"/>
                          <w:szCs w:val="28"/>
                        </w:rPr>
                      </w:pPr>
                    </w:p>
                    <w:p w14:paraId="5638C2DB" w14:textId="77777777" w:rsidR="0068772D" w:rsidRDefault="0068772D" w:rsidP="0068772D">
                      <w:pPr>
                        <w:jc w:val="right"/>
                        <w:rPr>
                          <w:rFonts w:asciiTheme="majorHAnsi" w:hAnsiTheme="majorHAnsi"/>
                          <w:b/>
                          <w:i/>
                          <w:color w:val="002060"/>
                          <w:sz w:val="32"/>
                          <w:szCs w:val="28"/>
                        </w:rPr>
                      </w:pPr>
                    </w:p>
                    <w:p w14:paraId="5A981C8E" w14:textId="77777777" w:rsidR="0068772D" w:rsidRPr="00AC4A5B" w:rsidRDefault="0068772D" w:rsidP="00ED6AC3">
                      <w:pPr>
                        <w:pStyle w:val="Textoindependiente"/>
                        <w:jc w:val="right"/>
                        <w:rPr>
                          <w:i/>
                          <w:color w:val="AA1A3F"/>
                          <w:sz w:val="30"/>
                          <w:szCs w:val="30"/>
                          <w:lang w:val="es-ES"/>
                        </w:rPr>
                      </w:pPr>
                    </w:p>
                    <w:p w14:paraId="188C5AFD" w14:textId="77777777" w:rsidR="00A32517" w:rsidRPr="002443E6" w:rsidRDefault="00A32517" w:rsidP="00ED6AC3">
                      <w:pPr>
                        <w:contextualSpacing/>
                        <w:jc w:val="right"/>
                        <w:rPr>
                          <w:i/>
                          <w:sz w:val="30"/>
                          <w:szCs w:val="30"/>
                        </w:rPr>
                      </w:pPr>
                    </w:p>
                  </w:txbxContent>
                </v:textbox>
                <w10:wrap type="through" anchorx="page" anchory="page"/>
              </v:shape>
            </w:pict>
          </mc:Fallback>
        </mc:AlternateContent>
      </w:r>
      <w:r w:rsidR="00FD23D9" w:rsidRPr="0069036B">
        <w:rPr>
          <w:rFonts w:asciiTheme="majorHAnsi" w:hAnsiTheme="majorHAnsi"/>
          <w:noProof/>
          <w:color w:val="231F20"/>
        </w:rPr>
        <mc:AlternateContent>
          <mc:Choice Requires="wps">
            <w:drawing>
              <wp:anchor distT="0" distB="0" distL="114300" distR="114300" simplePos="0" relativeHeight="251664384" behindDoc="0" locked="0" layoutInCell="1" allowOverlap="1" wp14:anchorId="70F78908" wp14:editId="6350E9CC">
                <wp:simplePos x="0" y="0"/>
                <wp:positionH relativeFrom="column">
                  <wp:posOffset>7144385</wp:posOffset>
                </wp:positionH>
                <wp:positionV relativeFrom="paragraph">
                  <wp:posOffset>5557520</wp:posOffset>
                </wp:positionV>
                <wp:extent cx="3229610" cy="1318260"/>
                <wp:effectExtent l="10160" t="10160" r="8255" b="508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9610" cy="1318260"/>
                        </a:xfrm>
                        <a:prstGeom prst="rect">
                          <a:avLst/>
                        </a:prstGeom>
                        <a:solidFill>
                          <a:srgbClr val="FFFFFF"/>
                        </a:solidFill>
                        <a:ln w="9525">
                          <a:solidFill>
                            <a:schemeClr val="bg1">
                              <a:lumMod val="100000"/>
                              <a:lumOff val="0"/>
                            </a:schemeClr>
                          </a:solidFill>
                          <a:miter lim="800000"/>
                          <a:headEnd/>
                          <a:tailEnd/>
                        </a:ln>
                      </wps:spPr>
                      <wps:txbx>
                        <w:txbxContent>
                          <w:p w14:paraId="0E42AEAB" w14:textId="77777777" w:rsidR="00FD23D9" w:rsidRDefault="00FD23D9">
                            <w:r>
                              <w:rPr>
                                <w:noProof/>
                              </w:rPr>
                              <w:drawing>
                                <wp:inline distT="0" distB="0" distL="0" distR="0" wp14:anchorId="66EC6D6D" wp14:editId="172EE763">
                                  <wp:extent cx="2447925" cy="847725"/>
                                  <wp:effectExtent l="0" t="0" r="0" b="0"/>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arcaGEN-ING-2013.jpg"/>
                                          <pic:cNvPicPr/>
                                        </pic:nvPicPr>
                                        <pic:blipFill>
                                          <a:blip r:embed="rId9">
                                            <a:extLst>
                                              <a:ext uri="{28A0092B-C50C-407E-A947-70E740481C1C}">
                                                <a14:useLocalDpi xmlns:a14="http://schemas.microsoft.com/office/drawing/2010/main" val="0"/>
                                              </a:ext>
                                            </a:extLst>
                                          </a:blip>
                                          <a:stretch>
                                            <a:fillRect/>
                                          </a:stretch>
                                        </pic:blipFill>
                                        <pic:spPr>
                                          <a:xfrm>
                                            <a:off x="0" y="0"/>
                                            <a:ext cx="2447925" cy="84772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78908" id="Cuadro de texto 15" o:spid="_x0000_s1028" type="#_x0000_t202" style="position:absolute;left:0;text-align:left;margin-left:562.55pt;margin-top:437.6pt;width:254.3pt;height:10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" strokecolor="white [3212]">
                <v:textbox>
                  <w:txbxContent>
                    <w:p w14:paraId="0E42AEAB" w14:textId="77777777" w:rsidR="00FD23D9" w:rsidRDefault="00FD23D9">
                      <w:r>
                        <w:rPr>
                          <w:noProof/>
                        </w:rPr>
                        <w:drawing>
                          <wp:inline distT="0" distB="0" distL="0" distR="0" wp14:anchorId="66EC6D6D" wp14:editId="172EE763">
                            <wp:extent cx="2447925" cy="847725"/>
                            <wp:effectExtent l="0" t="0" r="0" b="0"/>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arcaGEN-ING-2013.jpg"/>
                                    <pic:cNvPicPr/>
                                  </pic:nvPicPr>
                                  <pic:blipFill>
                                    <a:blip r:embed="rId9">
                                      <a:extLst>
                                        <a:ext uri="{28A0092B-C50C-407E-A947-70E740481C1C}">
                                          <a14:useLocalDpi xmlns:a14="http://schemas.microsoft.com/office/drawing/2010/main" val="0"/>
                                        </a:ext>
                                      </a:extLst>
                                    </a:blip>
                                    <a:stretch>
                                      <a:fillRect/>
                                    </a:stretch>
                                  </pic:blipFill>
                                  <pic:spPr>
                                    <a:xfrm>
                                      <a:off x="0" y="0"/>
                                      <a:ext cx="2447925" cy="847725"/>
                                    </a:xfrm>
                                    <a:prstGeom prst="rect">
                                      <a:avLst/>
                                    </a:prstGeom>
                                  </pic:spPr>
                                </pic:pic>
                              </a:graphicData>
                            </a:graphic>
                          </wp:inline>
                        </w:drawing>
                      </w:r>
                    </w:p>
                  </w:txbxContent>
                </v:textbox>
              </v:shape>
            </w:pict>
          </mc:Fallback>
        </mc:AlternateContent>
      </w:r>
      <w:r w:rsidR="00B47479" w:rsidRPr="0069036B">
        <w:rPr>
          <w:rFonts w:asciiTheme="majorHAnsi" w:hAnsiTheme="majorHAnsi"/>
        </w:rPr>
        <w:br w:type="page"/>
      </w:r>
    </w:p>
    <w:p w14:paraId="36EF54B9" w14:textId="74989C2C" w:rsidR="00AE442F" w:rsidRPr="0069036B" w:rsidRDefault="004A5D33" w:rsidP="005F0380">
      <w:pPr>
        <w:jc w:val="both"/>
        <w:rPr>
          <w:rFonts w:asciiTheme="majorHAnsi" w:eastAsia="Calibri" w:hAnsiTheme="majorHAnsi"/>
          <w:b/>
          <w:color w:val="002060"/>
          <w:lang w:eastAsia="en-US"/>
        </w:rPr>
      </w:pPr>
      <w:r w:rsidRPr="0069036B">
        <w:rPr>
          <w:rFonts w:asciiTheme="majorHAnsi" w:eastAsia="Calibri" w:hAnsiTheme="majorHAnsi"/>
          <w:b/>
          <w:color w:val="002060"/>
          <w:lang w:eastAsia="en-US"/>
        </w:rPr>
        <w:lastRenderedPageBreak/>
        <w:t>CEOE. Comentarios a la revisión puntual de la normativa de envases</w:t>
      </w:r>
      <w:r w:rsidR="002C617E" w:rsidRPr="0069036B">
        <w:rPr>
          <w:rFonts w:asciiTheme="majorHAnsi" w:eastAsia="Calibri" w:hAnsiTheme="majorHAnsi"/>
          <w:b/>
          <w:color w:val="002060"/>
          <w:lang w:eastAsia="en-US"/>
        </w:rPr>
        <w:t xml:space="preserve"> </w:t>
      </w:r>
      <w:r w:rsidR="002C617E" w:rsidRPr="0069036B">
        <w:rPr>
          <w:rFonts w:asciiTheme="majorHAnsi" w:eastAsia="Calibri" w:hAnsiTheme="majorHAnsi"/>
          <w:b/>
          <w:color w:val="002060"/>
          <w:lang w:eastAsia="en-US"/>
        </w:rPr>
        <w:t>(Ley 11/1997 y Real Decreto 782/1998)</w:t>
      </w:r>
    </w:p>
    <w:p w14:paraId="3D933AAD" w14:textId="77777777" w:rsidR="004A5D33" w:rsidRPr="0069036B" w:rsidRDefault="004A5D33" w:rsidP="005F0380">
      <w:pPr>
        <w:jc w:val="both"/>
        <w:rPr>
          <w:rFonts w:asciiTheme="majorHAnsi" w:eastAsia="Calibri" w:hAnsiTheme="majorHAnsi"/>
          <w:b/>
          <w:color w:val="002060"/>
          <w:lang w:eastAsia="en-US"/>
        </w:rPr>
      </w:pPr>
    </w:p>
    <w:p w14:paraId="169218D9" w14:textId="77777777" w:rsidR="00BD1396" w:rsidRPr="0069036B" w:rsidRDefault="00BD1396" w:rsidP="005F0380">
      <w:pPr>
        <w:contextualSpacing/>
        <w:jc w:val="both"/>
        <w:rPr>
          <w:rFonts w:asciiTheme="majorHAnsi" w:hAnsiTheme="majorHAnsi"/>
          <w:b/>
          <w:color w:val="DF4E13"/>
        </w:rPr>
      </w:pPr>
      <w:r w:rsidRPr="0069036B">
        <w:rPr>
          <w:rFonts w:asciiTheme="majorHAnsi" w:hAnsiTheme="majorHAnsi"/>
          <w:b/>
          <w:color w:val="DF4E13"/>
        </w:rPr>
        <w:t>ANTECEDENTES</w:t>
      </w:r>
    </w:p>
    <w:p w14:paraId="7DCFF5ED" w14:textId="77777777" w:rsidR="00BD1396" w:rsidRPr="0069036B" w:rsidRDefault="00BD1396" w:rsidP="005F0380">
      <w:pPr>
        <w:contextualSpacing/>
        <w:jc w:val="both"/>
        <w:rPr>
          <w:rFonts w:asciiTheme="majorHAnsi" w:hAnsiTheme="majorHAnsi"/>
          <w:b/>
          <w:color w:val="DF4E13"/>
        </w:rPr>
      </w:pPr>
    </w:p>
    <w:p w14:paraId="4FD70A6A" w14:textId="51DEA816" w:rsidR="00D4248F" w:rsidRPr="0069036B" w:rsidRDefault="00BD1396" w:rsidP="005F0380">
      <w:pPr>
        <w:jc w:val="both"/>
        <w:rPr>
          <w:rFonts w:asciiTheme="majorHAnsi" w:hAnsiTheme="majorHAnsi"/>
        </w:rPr>
      </w:pPr>
      <w:r w:rsidRPr="0069036B">
        <w:rPr>
          <w:rFonts w:asciiTheme="majorHAnsi" w:hAnsiTheme="majorHAnsi"/>
        </w:rPr>
        <w:t xml:space="preserve">El Ministerio </w:t>
      </w:r>
      <w:r w:rsidR="00D52E40" w:rsidRPr="0069036B">
        <w:rPr>
          <w:rFonts w:asciiTheme="majorHAnsi" w:hAnsiTheme="majorHAnsi"/>
        </w:rPr>
        <w:t>para la Transición Ecológica</w:t>
      </w:r>
      <w:r w:rsidR="00D4248F" w:rsidRPr="0069036B">
        <w:rPr>
          <w:rFonts w:asciiTheme="majorHAnsi" w:hAnsiTheme="majorHAnsi"/>
        </w:rPr>
        <w:t xml:space="preserve"> (MITECO) </w:t>
      </w:r>
      <w:r w:rsidRPr="0069036B">
        <w:rPr>
          <w:rFonts w:asciiTheme="majorHAnsi" w:hAnsiTheme="majorHAnsi"/>
        </w:rPr>
        <w:t xml:space="preserve">abrió el trámite </w:t>
      </w:r>
      <w:r w:rsidR="00613FF7" w:rsidRPr="0069036B">
        <w:rPr>
          <w:rFonts w:asciiTheme="majorHAnsi" w:hAnsiTheme="majorHAnsi"/>
        </w:rPr>
        <w:t xml:space="preserve">de </w:t>
      </w:r>
      <w:r w:rsidR="00111429" w:rsidRPr="0069036B">
        <w:rPr>
          <w:rFonts w:asciiTheme="majorHAnsi" w:hAnsiTheme="majorHAnsi"/>
        </w:rPr>
        <w:t xml:space="preserve">consulta pública sobre </w:t>
      </w:r>
      <w:r w:rsidR="00D4248F" w:rsidRPr="0069036B">
        <w:rPr>
          <w:rFonts w:asciiTheme="majorHAnsi" w:hAnsiTheme="majorHAnsi"/>
        </w:rPr>
        <w:t>el Proyecto de Real Decreto por el que se modifican la ley 11/1997, de 24 de abril, de envases y residuos de envases y el real decreto 782/1998, de 30 de abril por el que se aprueba el reglamento para el desarrollo y ejecución de la ley 11/1997, de 24 de abril, de envases y residuos de envases.</w:t>
      </w:r>
    </w:p>
    <w:p w14:paraId="07B75343" w14:textId="77777777" w:rsidR="00D4248F" w:rsidRPr="0069036B" w:rsidRDefault="00951300" w:rsidP="005F0380">
      <w:pPr>
        <w:jc w:val="both"/>
        <w:rPr>
          <w:rFonts w:asciiTheme="majorHAnsi" w:hAnsiTheme="majorHAnsi"/>
        </w:rPr>
      </w:pPr>
      <w:hyperlink r:id="rId10" w:history="1">
        <w:r w:rsidR="00D4248F" w:rsidRPr="0069036B">
          <w:rPr>
            <w:rStyle w:val="Hipervnculo"/>
            <w:rFonts w:asciiTheme="majorHAnsi" w:hAnsiTheme="majorHAnsi"/>
          </w:rPr>
          <w:t>https://www.miteco.gob.es/es/calidad-y-evaluacion-ambiental/participacion-publica/Residuos-2018-Proyecto-RD-modifica-ley-11-1997-24-abril-EnvaResiEnva-RD-782-1998-30-abril-aprueba-reglamento-desarrollo-ejecucion-ley-11-1997.aspx</w:t>
        </w:r>
      </w:hyperlink>
      <w:r w:rsidR="00D4248F" w:rsidRPr="0069036B">
        <w:rPr>
          <w:rFonts w:asciiTheme="majorHAnsi" w:hAnsiTheme="majorHAnsi"/>
        </w:rPr>
        <w:t xml:space="preserve"> </w:t>
      </w:r>
    </w:p>
    <w:p w14:paraId="6F57A790" w14:textId="16BA0F8C" w:rsidR="000F66ED" w:rsidRPr="0069036B" w:rsidRDefault="000F66ED" w:rsidP="005F0380">
      <w:pPr>
        <w:jc w:val="both"/>
        <w:rPr>
          <w:rFonts w:asciiTheme="majorHAnsi" w:hAnsiTheme="majorHAnsi"/>
        </w:rPr>
      </w:pPr>
    </w:p>
    <w:p w14:paraId="70FBCB10" w14:textId="37472B84" w:rsidR="00213365" w:rsidRPr="0069036B" w:rsidRDefault="00213365" w:rsidP="005F0380">
      <w:pPr>
        <w:jc w:val="both"/>
        <w:rPr>
          <w:rFonts w:asciiTheme="majorHAnsi" w:hAnsiTheme="majorHAnsi"/>
        </w:rPr>
      </w:pPr>
      <w:r w:rsidRPr="0069036B">
        <w:rPr>
          <w:rFonts w:asciiTheme="majorHAnsi" w:hAnsiTheme="majorHAnsi"/>
        </w:rPr>
        <w:t xml:space="preserve">Según se indica en la web del MITECO, </w:t>
      </w:r>
      <w:r w:rsidRPr="0069036B">
        <w:rPr>
          <w:rFonts w:asciiTheme="majorHAnsi" w:hAnsiTheme="majorHAnsi"/>
          <w:b/>
          <w:u w:val="single"/>
        </w:rPr>
        <w:t>el texto propone la revisión puntual de la normativa de envases</w:t>
      </w:r>
      <w:r w:rsidRPr="0069036B">
        <w:rPr>
          <w:rFonts w:asciiTheme="majorHAnsi" w:hAnsiTheme="majorHAnsi"/>
          <w:u w:val="single"/>
        </w:rPr>
        <w:t xml:space="preserve"> (Ley 11/1997, de 24 de abril, y Real Decreto 782/1998, de 30 de abril) para adaptar algunos aspectos de esta normativa en consonancia con las previsiones establecidas en la Directiva de 2018 por la que se revisa la </w:t>
      </w:r>
      <w:r w:rsidRPr="0069036B">
        <w:rPr>
          <w:rFonts w:asciiTheme="majorHAnsi" w:hAnsiTheme="majorHAnsi"/>
          <w:b/>
          <w:u w:val="single"/>
        </w:rPr>
        <w:t>Directiva 2008/98/CE Marco de Residuos</w:t>
      </w:r>
      <w:r w:rsidRPr="0069036B">
        <w:rPr>
          <w:rFonts w:asciiTheme="majorHAnsi" w:hAnsiTheme="majorHAnsi"/>
          <w:u w:val="single"/>
        </w:rPr>
        <w:t xml:space="preserve">, relativas a los </w:t>
      </w:r>
      <w:r w:rsidRPr="0069036B">
        <w:rPr>
          <w:rFonts w:asciiTheme="majorHAnsi" w:hAnsiTheme="majorHAnsi"/>
          <w:b/>
          <w:bCs/>
          <w:u w:val="single"/>
        </w:rPr>
        <w:t>costes</w:t>
      </w:r>
      <w:r w:rsidRPr="0069036B">
        <w:rPr>
          <w:rFonts w:asciiTheme="majorHAnsi" w:hAnsiTheme="majorHAnsi"/>
          <w:b/>
          <w:bCs/>
        </w:rPr>
        <w:t xml:space="preserve"> que deben financiarse en el marco de la responsabilidad ampliada del productor</w:t>
      </w:r>
      <w:r w:rsidRPr="0069036B">
        <w:rPr>
          <w:rFonts w:asciiTheme="majorHAnsi" w:hAnsiTheme="majorHAnsi"/>
        </w:rPr>
        <w:t>.</w:t>
      </w:r>
    </w:p>
    <w:p w14:paraId="405D25BE" w14:textId="77777777" w:rsidR="00A31F16" w:rsidRPr="0069036B" w:rsidRDefault="00A31F16" w:rsidP="005F0380">
      <w:pPr>
        <w:jc w:val="both"/>
        <w:rPr>
          <w:rFonts w:asciiTheme="majorHAnsi" w:hAnsiTheme="majorHAnsi"/>
        </w:rPr>
      </w:pPr>
    </w:p>
    <w:p w14:paraId="06AA0CE4" w14:textId="3BB5493E" w:rsidR="00213365" w:rsidRPr="0069036B" w:rsidRDefault="00213365" w:rsidP="005F0380">
      <w:pPr>
        <w:jc w:val="both"/>
        <w:rPr>
          <w:rFonts w:asciiTheme="majorHAnsi" w:hAnsiTheme="majorHAnsi"/>
        </w:rPr>
      </w:pPr>
      <w:r w:rsidRPr="0069036B">
        <w:rPr>
          <w:rFonts w:asciiTheme="majorHAnsi" w:hAnsiTheme="majorHAnsi"/>
        </w:rPr>
        <w:t xml:space="preserve">Así, la modificación introducida en el </w:t>
      </w:r>
      <w:r w:rsidRPr="0069036B">
        <w:rPr>
          <w:rFonts w:asciiTheme="majorHAnsi" w:hAnsiTheme="majorHAnsi"/>
          <w:b/>
        </w:rPr>
        <w:t>artículo 10</w:t>
      </w:r>
      <w:r w:rsidRPr="0069036B">
        <w:rPr>
          <w:rFonts w:asciiTheme="majorHAnsi" w:hAnsiTheme="majorHAnsi"/>
        </w:rPr>
        <w:t xml:space="preserve"> de la Ley 11/1997, de 24 de abril, </w:t>
      </w:r>
      <w:r w:rsidRPr="0069036B">
        <w:rPr>
          <w:rFonts w:asciiTheme="majorHAnsi" w:hAnsiTheme="majorHAnsi"/>
          <w:b/>
          <w:bCs/>
        </w:rPr>
        <w:t>pretende que los sistemas integrados de gestión financien a las entidades locales el coste total</w:t>
      </w:r>
      <w:r w:rsidRPr="0069036B">
        <w:rPr>
          <w:rFonts w:asciiTheme="majorHAnsi" w:hAnsiTheme="majorHAnsi"/>
        </w:rPr>
        <w:t xml:space="preserve"> de la gestión de los </w:t>
      </w:r>
      <w:r w:rsidRPr="0069036B">
        <w:rPr>
          <w:rFonts w:asciiTheme="majorHAnsi" w:hAnsiTheme="majorHAnsi"/>
          <w:b/>
          <w:bCs/>
        </w:rPr>
        <w:t>envases recogidos selectivamente</w:t>
      </w:r>
      <w:r w:rsidR="00A31F16" w:rsidRPr="0069036B">
        <w:rPr>
          <w:rFonts w:asciiTheme="majorHAnsi" w:hAnsiTheme="majorHAnsi"/>
        </w:rPr>
        <w:t xml:space="preserve"> y no sólo, como hasta ahora, por la diferencia de coste entre </w:t>
      </w:r>
      <w:r w:rsidR="00A31F16" w:rsidRPr="0069036B">
        <w:rPr>
          <w:rFonts w:asciiTheme="majorHAnsi" w:hAnsiTheme="majorHAnsi"/>
        </w:rPr>
        <w:t>la recogida selectiva</w:t>
      </w:r>
      <w:r w:rsidR="00A31F16" w:rsidRPr="0069036B">
        <w:rPr>
          <w:rFonts w:asciiTheme="majorHAnsi" w:hAnsiTheme="majorHAnsi"/>
        </w:rPr>
        <w:t xml:space="preserve"> y el depósito en vertedero</w:t>
      </w:r>
      <w:r w:rsidR="00A31F16" w:rsidRPr="0069036B">
        <w:rPr>
          <w:rFonts w:asciiTheme="majorHAnsi" w:hAnsiTheme="majorHAnsi"/>
        </w:rPr>
        <w:t xml:space="preserve">, </w:t>
      </w:r>
      <w:r w:rsidRPr="0069036B">
        <w:rPr>
          <w:rFonts w:asciiTheme="majorHAnsi" w:hAnsiTheme="majorHAnsi"/>
        </w:rPr>
        <w:t>en consonancia con las previsiones establecidas en la Directiva de 2018 por la que se revisa la Directiva 2008/98/CE Marco de Residuos, relativas a los costes que deben financiarse en el marco de la responsabilidad ampliada del productor.</w:t>
      </w:r>
    </w:p>
    <w:p w14:paraId="44BD45D8" w14:textId="08DD6281" w:rsidR="00213365" w:rsidRPr="0069036B" w:rsidRDefault="00213365" w:rsidP="005F0380">
      <w:pPr>
        <w:jc w:val="both"/>
        <w:rPr>
          <w:rFonts w:asciiTheme="majorHAnsi" w:hAnsiTheme="majorHAnsi"/>
        </w:rPr>
      </w:pPr>
      <w:r w:rsidRPr="0069036B">
        <w:rPr>
          <w:rFonts w:asciiTheme="majorHAnsi" w:hAnsiTheme="majorHAnsi"/>
        </w:rPr>
        <w:br/>
        <w:t xml:space="preserve">Por otra parte, las modificaciones introducidas en el </w:t>
      </w:r>
      <w:r w:rsidR="00A31F16" w:rsidRPr="0069036B">
        <w:rPr>
          <w:rFonts w:asciiTheme="majorHAnsi" w:hAnsiTheme="majorHAnsi"/>
        </w:rPr>
        <w:t xml:space="preserve">Real Decreto </w:t>
      </w:r>
      <w:r w:rsidRPr="0069036B">
        <w:rPr>
          <w:rFonts w:asciiTheme="majorHAnsi" w:hAnsiTheme="majorHAnsi"/>
        </w:rPr>
        <w:t>782/1998, pretenden:</w:t>
      </w:r>
    </w:p>
    <w:p w14:paraId="2C2D4018" w14:textId="34D6B3D9" w:rsidR="00213365" w:rsidRPr="0069036B" w:rsidRDefault="00213365" w:rsidP="005F0380">
      <w:pPr>
        <w:jc w:val="both"/>
        <w:rPr>
          <w:rFonts w:asciiTheme="majorHAnsi" w:hAnsiTheme="majorHAnsi"/>
        </w:rPr>
      </w:pPr>
      <w:r w:rsidRPr="0069036B">
        <w:rPr>
          <w:rFonts w:asciiTheme="majorHAnsi" w:hAnsiTheme="majorHAnsi"/>
        </w:rPr>
        <w:br/>
        <w:t xml:space="preserve">- </w:t>
      </w:r>
      <w:r w:rsidRPr="0069036B">
        <w:rPr>
          <w:rFonts w:asciiTheme="majorHAnsi" w:hAnsiTheme="majorHAnsi"/>
          <w:b/>
        </w:rPr>
        <w:t>clarificar quién es el envasador en el comercio a distancia</w:t>
      </w:r>
      <w:r w:rsidRPr="0069036B">
        <w:rPr>
          <w:rFonts w:asciiTheme="majorHAnsi" w:hAnsiTheme="majorHAnsi"/>
        </w:rPr>
        <w:t xml:space="preserve"> y a través de las plataformas electrónicas a la luz del incremento de la generación de residuos de </w:t>
      </w:r>
      <w:r w:rsidR="00AB0354" w:rsidRPr="0069036B">
        <w:rPr>
          <w:rFonts w:asciiTheme="majorHAnsi" w:hAnsiTheme="majorHAnsi"/>
        </w:rPr>
        <w:t>envases como</w:t>
      </w:r>
      <w:r w:rsidRPr="0069036B">
        <w:rPr>
          <w:rFonts w:asciiTheme="majorHAnsi" w:hAnsiTheme="majorHAnsi"/>
        </w:rPr>
        <w:t xml:space="preserve"> consecuencia de las ventas </w:t>
      </w:r>
      <w:proofErr w:type="spellStart"/>
      <w:r w:rsidRPr="0069036B">
        <w:rPr>
          <w:rFonts w:asciiTheme="majorHAnsi" w:hAnsiTheme="majorHAnsi"/>
        </w:rPr>
        <w:t>on</w:t>
      </w:r>
      <w:proofErr w:type="spellEnd"/>
      <w:r w:rsidRPr="0069036B">
        <w:rPr>
          <w:rFonts w:asciiTheme="majorHAnsi" w:hAnsiTheme="majorHAnsi"/>
        </w:rPr>
        <w:t xml:space="preserve"> line,</w:t>
      </w:r>
    </w:p>
    <w:p w14:paraId="5F009D47" w14:textId="77777777" w:rsidR="00213365" w:rsidRPr="0069036B" w:rsidRDefault="00213365" w:rsidP="005F0380">
      <w:pPr>
        <w:jc w:val="both"/>
        <w:rPr>
          <w:rFonts w:asciiTheme="majorHAnsi" w:hAnsiTheme="majorHAnsi"/>
        </w:rPr>
      </w:pPr>
      <w:r w:rsidRPr="0069036B">
        <w:rPr>
          <w:rFonts w:asciiTheme="majorHAnsi" w:hAnsiTheme="majorHAnsi"/>
        </w:rPr>
        <w:t xml:space="preserve">- revisar el </w:t>
      </w:r>
      <w:r w:rsidRPr="0069036B">
        <w:rPr>
          <w:rFonts w:asciiTheme="majorHAnsi" w:hAnsiTheme="majorHAnsi"/>
          <w:b/>
        </w:rPr>
        <w:t>artículo 10</w:t>
      </w:r>
      <w:r w:rsidRPr="0069036B">
        <w:rPr>
          <w:rFonts w:asciiTheme="majorHAnsi" w:hAnsiTheme="majorHAnsi"/>
        </w:rPr>
        <w:t xml:space="preserve"> del Real Decreto relativo a la </w:t>
      </w:r>
      <w:r w:rsidRPr="0069036B">
        <w:rPr>
          <w:rFonts w:asciiTheme="majorHAnsi" w:hAnsiTheme="majorHAnsi"/>
          <w:b/>
        </w:rPr>
        <w:t>financiación a las entidades locales</w:t>
      </w:r>
      <w:r w:rsidRPr="0069036B">
        <w:rPr>
          <w:rFonts w:asciiTheme="majorHAnsi" w:hAnsiTheme="majorHAnsi"/>
        </w:rPr>
        <w:t xml:space="preserve"> en consonancia con la modificación del artículo 10 de la Ley 11/1997, de 24 de abril, que se modifica también en este proyecto de real decreto y</w:t>
      </w:r>
    </w:p>
    <w:p w14:paraId="359E8E5A" w14:textId="77777777" w:rsidR="00213365" w:rsidRPr="0069036B" w:rsidRDefault="00213365" w:rsidP="005F0380">
      <w:pPr>
        <w:jc w:val="both"/>
        <w:rPr>
          <w:rFonts w:asciiTheme="majorHAnsi" w:hAnsiTheme="majorHAnsi"/>
        </w:rPr>
      </w:pPr>
      <w:r w:rsidRPr="0069036B">
        <w:rPr>
          <w:rFonts w:asciiTheme="majorHAnsi" w:hAnsiTheme="majorHAnsi"/>
        </w:rPr>
        <w:t xml:space="preserve">- revisar el </w:t>
      </w:r>
      <w:r w:rsidRPr="0069036B">
        <w:rPr>
          <w:rFonts w:asciiTheme="majorHAnsi" w:hAnsiTheme="majorHAnsi"/>
          <w:b/>
        </w:rPr>
        <w:t>artículo 19</w:t>
      </w:r>
      <w:r w:rsidRPr="0069036B">
        <w:rPr>
          <w:rFonts w:asciiTheme="majorHAnsi" w:hAnsiTheme="majorHAnsi"/>
        </w:rPr>
        <w:t xml:space="preserve"> para que, </w:t>
      </w:r>
      <w:r w:rsidRPr="0069036B">
        <w:rPr>
          <w:rFonts w:asciiTheme="majorHAnsi" w:hAnsiTheme="majorHAnsi"/>
          <w:bCs/>
        </w:rPr>
        <w:t>en el caso de que se establezca de forma voluntaria un sistema integrado de gestión</w:t>
      </w:r>
      <w:r w:rsidRPr="0069036B">
        <w:rPr>
          <w:rFonts w:asciiTheme="majorHAnsi" w:hAnsiTheme="majorHAnsi"/>
        </w:rPr>
        <w:t xml:space="preserve"> por parte de los envasadores de productos envasados en </w:t>
      </w:r>
      <w:r w:rsidRPr="0069036B">
        <w:rPr>
          <w:rFonts w:asciiTheme="majorHAnsi" w:hAnsiTheme="majorHAnsi"/>
          <w:bCs/>
        </w:rPr>
        <w:t>envases comerciales e industriales</w:t>
      </w:r>
      <w:r w:rsidRPr="0069036B">
        <w:rPr>
          <w:rFonts w:asciiTheme="majorHAnsi" w:hAnsiTheme="majorHAnsi"/>
        </w:rPr>
        <w:t xml:space="preserve">, y cuando estos </w:t>
      </w:r>
      <w:r w:rsidRPr="0069036B">
        <w:rPr>
          <w:rFonts w:asciiTheme="majorHAnsi" w:hAnsiTheme="majorHAnsi"/>
          <w:b/>
        </w:rPr>
        <w:t>envases vacíos sean peligrosos</w:t>
      </w:r>
      <w:r w:rsidRPr="0069036B">
        <w:rPr>
          <w:rFonts w:asciiTheme="majorHAnsi" w:hAnsiTheme="majorHAnsi"/>
        </w:rPr>
        <w:t>, no se aplique al poseedor de dichos envases las disposiciones sobre residuos peligrosos hasta que los entregue en los puntos indicados por el sistema integrado de gestión. </w:t>
      </w:r>
    </w:p>
    <w:p w14:paraId="7AF3302B" w14:textId="5E8BD84E" w:rsidR="00213365" w:rsidRPr="0069036B" w:rsidRDefault="00213365" w:rsidP="005F0380">
      <w:pPr>
        <w:jc w:val="both"/>
        <w:rPr>
          <w:rFonts w:asciiTheme="majorHAnsi" w:hAnsiTheme="majorHAnsi"/>
        </w:rPr>
      </w:pPr>
    </w:p>
    <w:p w14:paraId="35F61DC0" w14:textId="303E08F4" w:rsidR="00213365" w:rsidRPr="0069036B" w:rsidRDefault="00F57B54" w:rsidP="005F0380">
      <w:pPr>
        <w:jc w:val="both"/>
        <w:rPr>
          <w:rFonts w:asciiTheme="majorHAnsi" w:hAnsiTheme="majorHAnsi"/>
        </w:rPr>
      </w:pPr>
      <w:r w:rsidRPr="0069036B">
        <w:rPr>
          <w:rFonts w:asciiTheme="majorHAnsi" w:hAnsiTheme="majorHAnsi"/>
        </w:rPr>
        <w:t>En relación con estos antecedentes</w:t>
      </w:r>
      <w:r w:rsidR="00D4321D" w:rsidRPr="0069036B">
        <w:rPr>
          <w:rFonts w:asciiTheme="majorHAnsi" w:hAnsiTheme="majorHAnsi"/>
        </w:rPr>
        <w:t>,</w:t>
      </w:r>
      <w:r w:rsidRPr="0069036B">
        <w:rPr>
          <w:rFonts w:asciiTheme="majorHAnsi" w:hAnsiTheme="majorHAnsi"/>
        </w:rPr>
        <w:t xml:space="preserve"> a </w:t>
      </w:r>
      <w:proofErr w:type="gramStart"/>
      <w:r w:rsidRPr="0069036B">
        <w:rPr>
          <w:rFonts w:asciiTheme="majorHAnsi" w:hAnsiTheme="majorHAnsi"/>
        </w:rPr>
        <w:t>continuación</w:t>
      </w:r>
      <w:proofErr w:type="gramEnd"/>
      <w:r w:rsidRPr="0069036B">
        <w:rPr>
          <w:rFonts w:asciiTheme="majorHAnsi" w:hAnsiTheme="majorHAnsi"/>
        </w:rPr>
        <w:t xml:space="preserve"> presentamos una serie de comentarios.</w:t>
      </w:r>
    </w:p>
    <w:p w14:paraId="117EA214" w14:textId="56EA32EF" w:rsidR="00F57B54" w:rsidRPr="0069036B" w:rsidRDefault="00F57B54" w:rsidP="005F0380">
      <w:pPr>
        <w:jc w:val="both"/>
        <w:rPr>
          <w:rFonts w:asciiTheme="majorHAnsi" w:hAnsiTheme="majorHAnsi"/>
        </w:rPr>
      </w:pPr>
    </w:p>
    <w:p w14:paraId="71B0E0CD" w14:textId="00AF0860" w:rsidR="00D4321D" w:rsidRPr="0069036B" w:rsidRDefault="00D4321D" w:rsidP="005F0380">
      <w:pPr>
        <w:jc w:val="both"/>
        <w:rPr>
          <w:rFonts w:asciiTheme="majorHAnsi" w:hAnsiTheme="majorHAnsi"/>
        </w:rPr>
      </w:pPr>
      <w:r w:rsidRPr="0069036B">
        <w:rPr>
          <w:rFonts w:asciiTheme="majorHAnsi" w:hAnsiTheme="majorHAnsi"/>
        </w:rPr>
        <w:br w:type="page"/>
      </w:r>
    </w:p>
    <w:p w14:paraId="55E0ED57" w14:textId="77777777" w:rsidR="00D4321D" w:rsidRPr="0069036B" w:rsidRDefault="00D4321D" w:rsidP="005F0380">
      <w:pPr>
        <w:jc w:val="both"/>
        <w:rPr>
          <w:rFonts w:asciiTheme="majorHAnsi" w:hAnsiTheme="majorHAnsi"/>
        </w:rPr>
      </w:pPr>
    </w:p>
    <w:p w14:paraId="5962B2F8" w14:textId="75C1EA1E" w:rsidR="00213365" w:rsidRPr="0069036B" w:rsidRDefault="0081360E" w:rsidP="005F0380">
      <w:pPr>
        <w:contextualSpacing/>
        <w:jc w:val="both"/>
        <w:rPr>
          <w:rFonts w:asciiTheme="majorHAnsi" w:hAnsiTheme="majorHAnsi"/>
        </w:rPr>
      </w:pPr>
      <w:r w:rsidRPr="0069036B">
        <w:rPr>
          <w:rFonts w:asciiTheme="majorHAnsi" w:hAnsiTheme="majorHAnsi"/>
          <w:b/>
          <w:color w:val="DF4E13"/>
        </w:rPr>
        <w:t>NECESIDAD DE TRANSPOSICÓN</w:t>
      </w:r>
      <w:r w:rsidR="00D4321D" w:rsidRPr="0069036B">
        <w:rPr>
          <w:rFonts w:asciiTheme="majorHAnsi" w:hAnsiTheme="majorHAnsi"/>
          <w:b/>
          <w:color w:val="DF4E13"/>
        </w:rPr>
        <w:t xml:space="preserve"> </w:t>
      </w:r>
      <w:r w:rsidR="008D45F0">
        <w:rPr>
          <w:rFonts w:asciiTheme="majorHAnsi" w:hAnsiTheme="majorHAnsi"/>
          <w:b/>
          <w:color w:val="DF4E13"/>
        </w:rPr>
        <w:t>COMPLETA</w:t>
      </w:r>
      <w:r w:rsidR="00D4321D" w:rsidRPr="0069036B">
        <w:rPr>
          <w:rFonts w:asciiTheme="majorHAnsi" w:hAnsiTheme="majorHAnsi"/>
          <w:b/>
          <w:color w:val="DF4E13"/>
        </w:rPr>
        <w:t>, Y NO PARCIAL</w:t>
      </w:r>
    </w:p>
    <w:p w14:paraId="16059AA6" w14:textId="30FE11BA" w:rsidR="00213365" w:rsidRPr="0069036B" w:rsidRDefault="00213365" w:rsidP="005F0380">
      <w:pPr>
        <w:jc w:val="both"/>
        <w:rPr>
          <w:rFonts w:asciiTheme="majorHAnsi" w:hAnsiTheme="majorHAnsi"/>
        </w:rPr>
      </w:pPr>
    </w:p>
    <w:p w14:paraId="414E52D8" w14:textId="180240AC" w:rsidR="00AB0354" w:rsidRPr="008D45F0" w:rsidRDefault="00AB0354" w:rsidP="005F0380">
      <w:pPr>
        <w:jc w:val="both"/>
        <w:rPr>
          <w:rFonts w:asciiTheme="majorHAnsi" w:hAnsiTheme="majorHAnsi"/>
          <w:b/>
        </w:rPr>
      </w:pPr>
      <w:r w:rsidRPr="008D45F0">
        <w:rPr>
          <w:rFonts w:asciiTheme="majorHAnsi" w:hAnsiTheme="majorHAnsi"/>
          <w:b/>
        </w:rPr>
        <w:t>PROPUESTA</w:t>
      </w:r>
    </w:p>
    <w:p w14:paraId="2977B265" w14:textId="77777777" w:rsidR="00AB0354" w:rsidRPr="0069036B" w:rsidRDefault="00AB0354" w:rsidP="005F0380">
      <w:pPr>
        <w:jc w:val="both"/>
        <w:rPr>
          <w:rFonts w:asciiTheme="majorHAnsi" w:hAnsiTheme="majorHAnsi"/>
        </w:rPr>
      </w:pPr>
    </w:p>
    <w:p w14:paraId="2F65EA9D" w14:textId="0E507C10" w:rsidR="008D45F0" w:rsidRDefault="00C0682C" w:rsidP="005F0380">
      <w:pPr>
        <w:jc w:val="both"/>
        <w:rPr>
          <w:rFonts w:asciiTheme="majorHAnsi" w:hAnsiTheme="majorHAnsi"/>
          <w:b/>
          <w:u w:val="single"/>
        </w:rPr>
      </w:pPr>
      <w:r w:rsidRPr="0069036B">
        <w:rPr>
          <w:rFonts w:asciiTheme="majorHAnsi" w:hAnsiTheme="majorHAnsi"/>
          <w:b/>
        </w:rPr>
        <w:t xml:space="preserve">Se está realizando, de manera parcial, </w:t>
      </w:r>
      <w:r w:rsidRPr="0069036B">
        <w:rPr>
          <w:rFonts w:asciiTheme="majorHAnsi" w:hAnsiTheme="majorHAnsi"/>
          <w:b/>
        </w:rPr>
        <w:t xml:space="preserve">la transposición de una normativa comunitaria de grandes implicaciones </w:t>
      </w:r>
      <w:r w:rsidRPr="0069036B">
        <w:rPr>
          <w:rFonts w:asciiTheme="majorHAnsi" w:hAnsiTheme="majorHAnsi"/>
          <w:b/>
        </w:rPr>
        <w:t>para los afectados</w:t>
      </w:r>
      <w:r w:rsidR="00AB0354" w:rsidRPr="0069036B">
        <w:rPr>
          <w:rFonts w:asciiTheme="majorHAnsi" w:hAnsiTheme="majorHAnsi"/>
          <w:b/>
        </w:rPr>
        <w:t>. P</w:t>
      </w:r>
      <w:r w:rsidRPr="0069036B">
        <w:rPr>
          <w:rFonts w:asciiTheme="majorHAnsi" w:hAnsiTheme="majorHAnsi"/>
          <w:b/>
        </w:rPr>
        <w:t xml:space="preserve">or ello </w:t>
      </w:r>
      <w:r w:rsidRPr="0069036B">
        <w:rPr>
          <w:rFonts w:asciiTheme="majorHAnsi" w:hAnsiTheme="majorHAnsi"/>
          <w:b/>
          <w:u w:val="single"/>
        </w:rPr>
        <w:t xml:space="preserve">sería conveniente </w:t>
      </w:r>
      <w:r w:rsidR="008D45F0">
        <w:rPr>
          <w:rFonts w:asciiTheme="majorHAnsi" w:hAnsiTheme="majorHAnsi"/>
          <w:b/>
          <w:u w:val="single"/>
        </w:rPr>
        <w:t xml:space="preserve">que </w:t>
      </w:r>
      <w:r w:rsidR="008D45F0" w:rsidRPr="008D45F0">
        <w:rPr>
          <w:rFonts w:asciiTheme="majorHAnsi" w:hAnsiTheme="majorHAnsi"/>
          <w:b/>
          <w:u w:val="single"/>
        </w:rPr>
        <w:t>se paralice el presente procedimiento normativo y se opte por la alternativa valorada por el Ministerio proponente</w:t>
      </w:r>
      <w:r w:rsidR="00BF5418">
        <w:rPr>
          <w:rFonts w:asciiTheme="majorHAnsi" w:hAnsiTheme="majorHAnsi"/>
          <w:b/>
          <w:u w:val="single"/>
        </w:rPr>
        <w:t xml:space="preserve"> </w:t>
      </w:r>
      <w:r w:rsidR="00BF5418" w:rsidRPr="00BF5418">
        <w:rPr>
          <w:rFonts w:asciiTheme="majorHAnsi" w:hAnsiTheme="majorHAnsi" w:cs="Arial"/>
        </w:rPr>
        <w:t xml:space="preserve">(según se cita </w:t>
      </w:r>
      <w:r w:rsidR="00BF5418" w:rsidRPr="00BF5418">
        <w:rPr>
          <w:rFonts w:asciiTheme="majorHAnsi" w:hAnsiTheme="majorHAnsi" w:cs="Arial"/>
        </w:rPr>
        <w:t>en la Memoria del Análisis de Impacto Normativo</w:t>
      </w:r>
      <w:r w:rsidR="00BF5418" w:rsidRPr="00BF5418">
        <w:rPr>
          <w:rFonts w:asciiTheme="majorHAnsi" w:hAnsiTheme="majorHAnsi" w:cs="Arial"/>
        </w:rPr>
        <w:t>)</w:t>
      </w:r>
      <w:r w:rsidR="008D45F0" w:rsidRPr="00BF5418">
        <w:rPr>
          <w:rFonts w:asciiTheme="majorHAnsi" w:hAnsiTheme="majorHAnsi"/>
          <w:b/>
          <w:u w:val="single"/>
        </w:rPr>
        <w:t>, procediéndose</w:t>
      </w:r>
      <w:r w:rsidR="008D45F0" w:rsidRPr="008D45F0">
        <w:rPr>
          <w:rFonts w:asciiTheme="majorHAnsi" w:hAnsiTheme="majorHAnsi"/>
          <w:b/>
          <w:u w:val="single"/>
        </w:rPr>
        <w:t xml:space="preserve"> a abordar la transposición completa de las Directivas por la que se modifican la Directiva Marco de Residuos y la Directiva de Envases y Residuos de Envases</w:t>
      </w:r>
      <w:r w:rsidR="008D45F0">
        <w:rPr>
          <w:rFonts w:asciiTheme="majorHAnsi" w:hAnsiTheme="majorHAnsi"/>
          <w:b/>
          <w:u w:val="single"/>
        </w:rPr>
        <w:t>.</w:t>
      </w:r>
    </w:p>
    <w:p w14:paraId="6452CC40" w14:textId="77777777" w:rsidR="008D45F0" w:rsidRDefault="008D45F0" w:rsidP="005F0380">
      <w:pPr>
        <w:jc w:val="both"/>
        <w:rPr>
          <w:rFonts w:asciiTheme="majorHAnsi" w:hAnsiTheme="majorHAnsi"/>
          <w:b/>
          <w:u w:val="single"/>
        </w:rPr>
      </w:pPr>
    </w:p>
    <w:p w14:paraId="279A773F" w14:textId="36B6BCA5" w:rsidR="00AB0354" w:rsidRPr="008D45F0" w:rsidRDefault="00AB0354" w:rsidP="005F0380">
      <w:pPr>
        <w:jc w:val="both"/>
        <w:rPr>
          <w:rFonts w:asciiTheme="majorHAnsi" w:hAnsiTheme="majorHAnsi"/>
          <w:b/>
        </w:rPr>
      </w:pPr>
      <w:r w:rsidRPr="008D45F0">
        <w:rPr>
          <w:rFonts w:asciiTheme="majorHAnsi" w:hAnsiTheme="majorHAnsi"/>
          <w:b/>
        </w:rPr>
        <w:t>JUSTIFICACIÓN</w:t>
      </w:r>
    </w:p>
    <w:p w14:paraId="1B6FDF2F" w14:textId="77777777" w:rsidR="008A15EB" w:rsidRPr="0069036B" w:rsidRDefault="008A15EB" w:rsidP="005F0380">
      <w:pPr>
        <w:jc w:val="both"/>
        <w:rPr>
          <w:rFonts w:asciiTheme="majorHAnsi" w:hAnsiTheme="majorHAnsi"/>
        </w:rPr>
      </w:pPr>
    </w:p>
    <w:p w14:paraId="4F749321" w14:textId="067CC191" w:rsidR="00C0682C" w:rsidRPr="0069036B" w:rsidRDefault="00C0682C" w:rsidP="005F0380">
      <w:pPr>
        <w:jc w:val="both"/>
        <w:rPr>
          <w:rFonts w:asciiTheme="majorHAnsi" w:hAnsiTheme="majorHAnsi"/>
        </w:rPr>
      </w:pPr>
      <w:r w:rsidRPr="0069036B">
        <w:rPr>
          <w:rFonts w:asciiTheme="majorHAnsi" w:hAnsiTheme="majorHAnsi"/>
        </w:rPr>
        <w:t>Mediante esta transposición parcial, se vulneran una serie de principios</w:t>
      </w:r>
      <w:r w:rsidR="000B725A" w:rsidRPr="0069036B">
        <w:rPr>
          <w:rFonts w:asciiTheme="majorHAnsi" w:hAnsiTheme="majorHAnsi"/>
        </w:rPr>
        <w:t>, tal y como se describe en los párrafos siguientes</w:t>
      </w:r>
      <w:r w:rsidR="00AB0354" w:rsidRPr="0069036B">
        <w:rPr>
          <w:rFonts w:asciiTheme="majorHAnsi" w:hAnsiTheme="majorHAnsi"/>
        </w:rPr>
        <w:t>:</w:t>
      </w:r>
      <w:r w:rsidRPr="0069036B">
        <w:rPr>
          <w:rFonts w:asciiTheme="majorHAnsi" w:hAnsiTheme="majorHAnsi"/>
        </w:rPr>
        <w:t xml:space="preserve"> </w:t>
      </w:r>
    </w:p>
    <w:p w14:paraId="0F0BB614" w14:textId="77777777" w:rsidR="008A15EB" w:rsidRPr="0069036B" w:rsidRDefault="008A15EB" w:rsidP="005F0380">
      <w:pPr>
        <w:jc w:val="both"/>
        <w:rPr>
          <w:rFonts w:asciiTheme="majorHAnsi" w:hAnsiTheme="majorHAnsi"/>
        </w:rPr>
      </w:pPr>
    </w:p>
    <w:p w14:paraId="58E96FFF" w14:textId="7A43879B" w:rsidR="00C0682C" w:rsidRPr="0069036B" w:rsidRDefault="00760D7D" w:rsidP="005F0380">
      <w:pPr>
        <w:pStyle w:val="Prrafodelista"/>
        <w:numPr>
          <w:ilvl w:val="0"/>
          <w:numId w:val="28"/>
        </w:numPr>
        <w:jc w:val="both"/>
        <w:rPr>
          <w:rFonts w:asciiTheme="majorHAnsi" w:hAnsiTheme="majorHAnsi"/>
        </w:rPr>
      </w:pPr>
      <w:r w:rsidRPr="0069036B">
        <w:rPr>
          <w:rFonts w:asciiTheme="majorHAnsi" w:hAnsiTheme="majorHAnsi"/>
        </w:rPr>
        <w:t xml:space="preserve">Quiebra del principio de </w:t>
      </w:r>
      <w:r w:rsidR="000B725A" w:rsidRPr="0069036B">
        <w:rPr>
          <w:rFonts w:asciiTheme="majorHAnsi" w:hAnsiTheme="majorHAnsi"/>
        </w:rPr>
        <w:t>oportunidad de la norma</w:t>
      </w:r>
      <w:r w:rsidR="002B1F4F" w:rsidRPr="0069036B">
        <w:rPr>
          <w:rFonts w:asciiTheme="majorHAnsi" w:hAnsiTheme="majorHAnsi"/>
        </w:rPr>
        <w:t>, así</w:t>
      </w:r>
      <w:r w:rsidR="000B725A" w:rsidRPr="0069036B">
        <w:rPr>
          <w:rFonts w:asciiTheme="majorHAnsi" w:hAnsiTheme="majorHAnsi"/>
        </w:rPr>
        <w:t xml:space="preserve"> como de las posibles soluciones alternativas</w:t>
      </w:r>
      <w:r w:rsidR="000B725A" w:rsidRPr="0069036B">
        <w:rPr>
          <w:rFonts w:asciiTheme="majorHAnsi" w:hAnsiTheme="majorHAnsi"/>
        </w:rPr>
        <w:t>.</w:t>
      </w:r>
    </w:p>
    <w:p w14:paraId="62F6019B" w14:textId="61B8E129" w:rsidR="00AB0354" w:rsidRPr="0069036B" w:rsidRDefault="00AB0354" w:rsidP="005F0380">
      <w:pPr>
        <w:pStyle w:val="Prrafodelista"/>
        <w:numPr>
          <w:ilvl w:val="0"/>
          <w:numId w:val="28"/>
        </w:numPr>
        <w:jc w:val="both"/>
        <w:rPr>
          <w:rFonts w:asciiTheme="majorHAnsi" w:hAnsiTheme="majorHAnsi"/>
        </w:rPr>
      </w:pPr>
      <w:r w:rsidRPr="0069036B">
        <w:rPr>
          <w:rFonts w:asciiTheme="majorHAnsi" w:hAnsiTheme="majorHAnsi"/>
        </w:rPr>
        <w:t xml:space="preserve">Quiebra del principio de </w:t>
      </w:r>
      <w:r w:rsidRPr="0069036B">
        <w:rPr>
          <w:rFonts w:asciiTheme="majorHAnsi" w:hAnsiTheme="majorHAnsi"/>
        </w:rPr>
        <w:t>seguridad jurídica</w:t>
      </w:r>
      <w:r w:rsidR="000B725A" w:rsidRPr="0069036B">
        <w:rPr>
          <w:rFonts w:asciiTheme="majorHAnsi" w:hAnsiTheme="majorHAnsi"/>
        </w:rPr>
        <w:t xml:space="preserve">, ya que </w:t>
      </w:r>
      <w:r w:rsidR="000B725A" w:rsidRPr="0069036B">
        <w:rPr>
          <w:rFonts w:asciiTheme="majorHAnsi" w:hAnsiTheme="majorHAnsi" w:cs="Arial"/>
        </w:rPr>
        <w:t>la transposición parcial podría implicar la vulneración de una serie de principios consustanciales a la buena regulación</w:t>
      </w:r>
      <w:r w:rsidR="000B725A" w:rsidRPr="0069036B">
        <w:rPr>
          <w:rFonts w:asciiTheme="majorHAnsi" w:hAnsiTheme="majorHAnsi" w:cs="Arial"/>
        </w:rPr>
        <w:t>.</w:t>
      </w:r>
    </w:p>
    <w:p w14:paraId="12A8713A" w14:textId="45E9C358" w:rsidR="00AB0354" w:rsidRPr="0069036B" w:rsidRDefault="00AB0354" w:rsidP="005F0380">
      <w:pPr>
        <w:pStyle w:val="Prrafodelista"/>
        <w:numPr>
          <w:ilvl w:val="0"/>
          <w:numId w:val="28"/>
        </w:numPr>
        <w:jc w:val="both"/>
        <w:rPr>
          <w:rFonts w:asciiTheme="majorHAnsi" w:hAnsiTheme="majorHAnsi"/>
        </w:rPr>
      </w:pPr>
      <w:r w:rsidRPr="0069036B">
        <w:rPr>
          <w:rFonts w:asciiTheme="majorHAnsi" w:hAnsiTheme="majorHAnsi"/>
        </w:rPr>
        <w:t>Quiebra de</w:t>
      </w:r>
      <w:r w:rsidRPr="0069036B">
        <w:rPr>
          <w:rFonts w:asciiTheme="majorHAnsi" w:hAnsiTheme="majorHAnsi"/>
        </w:rPr>
        <w:t xml:space="preserve"> los</w:t>
      </w:r>
      <w:r w:rsidRPr="0069036B">
        <w:rPr>
          <w:rFonts w:asciiTheme="majorHAnsi" w:hAnsiTheme="majorHAnsi"/>
        </w:rPr>
        <w:t xml:space="preserve"> principio</w:t>
      </w:r>
      <w:r w:rsidRPr="0069036B">
        <w:rPr>
          <w:rFonts w:asciiTheme="majorHAnsi" w:hAnsiTheme="majorHAnsi"/>
        </w:rPr>
        <w:t>s</w:t>
      </w:r>
      <w:r w:rsidRPr="0069036B">
        <w:rPr>
          <w:rFonts w:asciiTheme="majorHAnsi" w:hAnsiTheme="majorHAnsi"/>
        </w:rPr>
        <w:t xml:space="preserve"> de </w:t>
      </w:r>
      <w:r w:rsidRPr="0069036B">
        <w:rPr>
          <w:rFonts w:asciiTheme="majorHAnsi" w:hAnsiTheme="majorHAnsi"/>
        </w:rPr>
        <w:t>necesidad, eficacia (y de eficiencia) y de transparencia</w:t>
      </w:r>
    </w:p>
    <w:p w14:paraId="46C8C629" w14:textId="4396FA6A" w:rsidR="00AB0354" w:rsidRPr="0069036B" w:rsidRDefault="00AB0354" w:rsidP="005F0380">
      <w:pPr>
        <w:jc w:val="both"/>
        <w:rPr>
          <w:rFonts w:asciiTheme="majorHAnsi" w:hAnsiTheme="majorHAnsi"/>
          <w:b/>
        </w:rPr>
      </w:pPr>
    </w:p>
    <w:p w14:paraId="0B02E9FD" w14:textId="79639FDD" w:rsidR="008A15EB" w:rsidRPr="0069036B" w:rsidRDefault="008A15EB" w:rsidP="005F0380">
      <w:pPr>
        <w:pStyle w:val="Prrafodelista"/>
        <w:numPr>
          <w:ilvl w:val="0"/>
          <w:numId w:val="29"/>
        </w:numPr>
        <w:jc w:val="both"/>
        <w:rPr>
          <w:rFonts w:asciiTheme="majorHAnsi" w:hAnsiTheme="majorHAnsi"/>
          <w:b/>
        </w:rPr>
      </w:pPr>
      <w:r w:rsidRPr="0069036B">
        <w:rPr>
          <w:rFonts w:asciiTheme="majorHAnsi" w:hAnsiTheme="majorHAnsi"/>
          <w:b/>
        </w:rPr>
        <w:t>Quiebra del principio de oportunidad</w:t>
      </w:r>
    </w:p>
    <w:p w14:paraId="112C4DC0" w14:textId="77777777" w:rsidR="00831F3D" w:rsidRPr="0069036B" w:rsidRDefault="00831F3D" w:rsidP="005F0380">
      <w:pPr>
        <w:pStyle w:val="Prrafodelista"/>
        <w:jc w:val="both"/>
        <w:rPr>
          <w:rFonts w:asciiTheme="majorHAnsi" w:hAnsiTheme="majorHAnsi"/>
        </w:rPr>
      </w:pPr>
    </w:p>
    <w:p w14:paraId="413E67C9" w14:textId="1AEAC119" w:rsidR="00C97758" w:rsidRPr="00AF1111" w:rsidRDefault="00466C70" w:rsidP="00331333">
      <w:pPr>
        <w:pStyle w:val="Prrafodelista"/>
        <w:numPr>
          <w:ilvl w:val="0"/>
          <w:numId w:val="33"/>
        </w:numPr>
        <w:jc w:val="both"/>
        <w:rPr>
          <w:rFonts w:asciiTheme="majorHAnsi" w:hAnsiTheme="majorHAnsi"/>
        </w:rPr>
      </w:pPr>
      <w:r w:rsidRPr="00AF1111">
        <w:rPr>
          <w:rFonts w:asciiTheme="majorHAnsi" w:hAnsiTheme="majorHAnsi"/>
        </w:rPr>
        <w:t>La Exposición de Motivos cita que se ha llevado a cabo la</w:t>
      </w:r>
      <w:r w:rsidRPr="00AF1111">
        <w:rPr>
          <w:rFonts w:asciiTheme="majorHAnsi" w:hAnsiTheme="majorHAnsi"/>
          <w:b/>
        </w:rPr>
        <w:t xml:space="preserve"> consulta pública “previa”</w:t>
      </w:r>
      <w:r w:rsidR="00C97758" w:rsidRPr="00AF1111">
        <w:rPr>
          <w:rFonts w:asciiTheme="majorHAnsi" w:hAnsiTheme="majorHAnsi"/>
          <w:b/>
        </w:rPr>
        <w:t xml:space="preserve">, </w:t>
      </w:r>
      <w:r w:rsidR="00C97758" w:rsidRPr="00AF1111">
        <w:rPr>
          <w:rFonts w:asciiTheme="majorHAnsi" w:hAnsiTheme="majorHAnsi"/>
          <w:b/>
        </w:rPr>
        <w:t>trámite que no ha tenido lugar</w:t>
      </w:r>
      <w:r w:rsidR="00AF1111" w:rsidRPr="00AF1111">
        <w:rPr>
          <w:rFonts w:asciiTheme="majorHAnsi" w:hAnsiTheme="majorHAnsi"/>
          <w:b/>
        </w:rPr>
        <w:t xml:space="preserve">. </w:t>
      </w:r>
    </w:p>
    <w:p w14:paraId="3AFE9EC5" w14:textId="77777777" w:rsidR="00AF1111" w:rsidRPr="00AF1111" w:rsidRDefault="00AF1111" w:rsidP="00AF1111">
      <w:pPr>
        <w:pStyle w:val="Prrafodelista"/>
        <w:ind w:left="1080"/>
        <w:jc w:val="both"/>
        <w:rPr>
          <w:rFonts w:asciiTheme="majorHAnsi" w:hAnsiTheme="majorHAnsi"/>
        </w:rPr>
      </w:pPr>
    </w:p>
    <w:p w14:paraId="53FB7CB7" w14:textId="27393FCC" w:rsidR="000D712C" w:rsidRPr="0069036B" w:rsidRDefault="000D712C" w:rsidP="00F0513C">
      <w:pPr>
        <w:pStyle w:val="Prrafodelista"/>
        <w:ind w:left="1080"/>
        <w:jc w:val="both"/>
        <w:rPr>
          <w:rFonts w:asciiTheme="majorHAnsi" w:hAnsiTheme="majorHAnsi" w:cs="Arial"/>
        </w:rPr>
      </w:pPr>
      <w:r w:rsidRPr="0069036B">
        <w:rPr>
          <w:rFonts w:asciiTheme="majorHAnsi" w:hAnsiTheme="majorHAnsi" w:cs="Arial"/>
        </w:rPr>
        <w:t>Es cierto que cabe la posibilidad, según establece ese mismo precepto, de omitir el trámite de consulta pública “</w:t>
      </w:r>
      <w:r w:rsidRPr="0069036B">
        <w:rPr>
          <w:rFonts w:asciiTheme="majorHAnsi" w:hAnsiTheme="majorHAnsi" w:cs="Arial"/>
          <w:i/>
        </w:rPr>
        <w:t>en el caso de la elaboración de normas presupuestarias u organizativas de la Administración General del Estado o de las organizaciones dependientes o vinculadas a éstas, cuando concurran razones graves de interés público que lo justifiquen, o cuando la propuesta normativa no tenga un impacto significativo en la actividad económica, no imponga obligaciones relevantes a los destinatarios o regule aspectos parciales de una materia. También podrá prescindirse de este trámite de consulta en el caso de tramitación urgente de iniciativas normativas, tal y como se establece en el artículo 27.2</w:t>
      </w:r>
      <w:r w:rsidRPr="0069036B">
        <w:rPr>
          <w:rFonts w:asciiTheme="majorHAnsi" w:hAnsiTheme="majorHAnsi" w:cs="Arial"/>
        </w:rPr>
        <w:t>”. Si bien se añade, cosa que no sucede, que “</w:t>
      </w:r>
      <w:r w:rsidRPr="0069036B">
        <w:rPr>
          <w:rFonts w:asciiTheme="majorHAnsi" w:hAnsiTheme="majorHAnsi" w:cs="Arial"/>
          <w:i/>
        </w:rPr>
        <w:t>la concurrencia de alguna o varias de estas razones, debidamente motivadas, se justificarán en la Memoria del Análisis de Impacto Normativo</w:t>
      </w:r>
      <w:r w:rsidR="00EA104A" w:rsidRPr="0069036B">
        <w:rPr>
          <w:rFonts w:asciiTheme="majorHAnsi" w:hAnsiTheme="majorHAnsi" w:cs="Arial"/>
          <w:i/>
        </w:rPr>
        <w:t>”</w:t>
      </w:r>
      <w:r w:rsidRPr="0069036B">
        <w:rPr>
          <w:rFonts w:asciiTheme="majorHAnsi" w:hAnsiTheme="majorHAnsi" w:cs="Arial"/>
          <w:i/>
        </w:rPr>
        <w:t xml:space="preserve"> </w:t>
      </w:r>
      <w:r w:rsidRPr="0069036B">
        <w:rPr>
          <w:rFonts w:asciiTheme="majorHAnsi" w:hAnsiTheme="majorHAnsi" w:cs="Arial"/>
        </w:rPr>
        <w:t>(en adelante, MAIN)</w:t>
      </w:r>
      <w:r w:rsidRPr="0069036B">
        <w:rPr>
          <w:rFonts w:asciiTheme="majorHAnsi" w:hAnsiTheme="majorHAnsi" w:cs="Arial"/>
        </w:rPr>
        <w:t xml:space="preserve">. </w:t>
      </w:r>
    </w:p>
    <w:p w14:paraId="531C4C9C" w14:textId="77777777" w:rsidR="00F0513C" w:rsidRPr="0069036B" w:rsidRDefault="00F0513C" w:rsidP="00F0513C">
      <w:pPr>
        <w:pStyle w:val="Prrafodelista"/>
        <w:ind w:left="1080"/>
        <w:jc w:val="both"/>
        <w:rPr>
          <w:rFonts w:asciiTheme="majorHAnsi" w:hAnsiTheme="majorHAnsi" w:cs="Arial"/>
        </w:rPr>
      </w:pPr>
    </w:p>
    <w:p w14:paraId="71EC4CD9" w14:textId="46D1D70A" w:rsidR="000D712C" w:rsidRPr="0069036B" w:rsidRDefault="00F0513C" w:rsidP="00F0513C">
      <w:pPr>
        <w:pStyle w:val="Prrafodelista"/>
        <w:numPr>
          <w:ilvl w:val="0"/>
          <w:numId w:val="33"/>
        </w:numPr>
        <w:jc w:val="both"/>
        <w:rPr>
          <w:rFonts w:asciiTheme="majorHAnsi" w:hAnsiTheme="majorHAnsi" w:cs="Arial"/>
        </w:rPr>
      </w:pPr>
      <w:r w:rsidRPr="0069036B">
        <w:rPr>
          <w:rFonts w:asciiTheme="majorHAnsi" w:hAnsiTheme="majorHAnsi" w:cs="Arial"/>
        </w:rPr>
        <w:lastRenderedPageBreak/>
        <w:t>E</w:t>
      </w:r>
      <w:r w:rsidR="000D712C" w:rsidRPr="0069036B">
        <w:rPr>
          <w:rFonts w:asciiTheme="majorHAnsi" w:hAnsiTheme="majorHAnsi" w:cs="Arial"/>
        </w:rPr>
        <w:t xml:space="preserve">l trámite de consulta pública hubiera sido particularmente trascendente en este caso por razones tanto de </w:t>
      </w:r>
      <w:r w:rsidR="000D712C" w:rsidRPr="0069036B">
        <w:rPr>
          <w:rFonts w:asciiTheme="majorHAnsi" w:hAnsiTheme="majorHAnsi" w:cs="Arial"/>
          <w:b/>
        </w:rPr>
        <w:t>oportunidad de la norma como de las posibles soluciones alternativas</w:t>
      </w:r>
      <w:r w:rsidR="000D712C" w:rsidRPr="0069036B">
        <w:rPr>
          <w:rFonts w:asciiTheme="majorHAnsi" w:hAnsiTheme="majorHAnsi" w:cs="Arial"/>
        </w:rPr>
        <w:t>, cuestiones a las que dicho trámite contribuye antes de la elaboración del texto.</w:t>
      </w:r>
      <w:r w:rsidR="005F0380" w:rsidRPr="0069036B">
        <w:rPr>
          <w:rFonts w:asciiTheme="majorHAnsi" w:hAnsiTheme="majorHAnsi" w:cs="Arial"/>
        </w:rPr>
        <w:t xml:space="preserve"> </w:t>
      </w:r>
    </w:p>
    <w:p w14:paraId="7F5E47FF" w14:textId="77777777" w:rsidR="00F0513C" w:rsidRPr="0069036B" w:rsidRDefault="00F0513C" w:rsidP="00F0513C">
      <w:pPr>
        <w:pStyle w:val="Prrafodelista"/>
        <w:ind w:left="1080"/>
        <w:jc w:val="both"/>
        <w:rPr>
          <w:rFonts w:asciiTheme="majorHAnsi" w:hAnsiTheme="majorHAnsi"/>
          <w:b/>
        </w:rPr>
      </w:pPr>
    </w:p>
    <w:p w14:paraId="7925F395" w14:textId="2A6EFFF6" w:rsidR="005F0380" w:rsidRPr="0069036B" w:rsidRDefault="00BF0A96" w:rsidP="00F0513C">
      <w:pPr>
        <w:pStyle w:val="Prrafodelista"/>
        <w:ind w:left="1080"/>
        <w:jc w:val="both"/>
        <w:rPr>
          <w:rFonts w:asciiTheme="majorHAnsi" w:hAnsiTheme="majorHAnsi" w:cs="Arial"/>
        </w:rPr>
      </w:pPr>
      <w:r w:rsidRPr="0069036B">
        <w:rPr>
          <w:rFonts w:asciiTheme="majorHAnsi" w:hAnsiTheme="majorHAnsi"/>
        </w:rPr>
        <w:t>En</w:t>
      </w:r>
      <w:r w:rsidRPr="0069036B">
        <w:rPr>
          <w:rFonts w:asciiTheme="majorHAnsi" w:hAnsiTheme="majorHAnsi" w:cs="Arial"/>
        </w:rPr>
        <w:t xml:space="preserve"> este sentido,</w:t>
      </w:r>
      <w:r w:rsidRPr="0069036B">
        <w:rPr>
          <w:rFonts w:asciiTheme="majorHAnsi" w:hAnsiTheme="majorHAnsi" w:cs="Arial"/>
          <w:b/>
        </w:rPr>
        <w:t xml:space="preserve"> la propia </w:t>
      </w:r>
      <w:r w:rsidR="000256C0" w:rsidRPr="0069036B">
        <w:rPr>
          <w:rFonts w:asciiTheme="majorHAnsi" w:hAnsiTheme="majorHAnsi" w:cs="Arial"/>
          <w:b/>
        </w:rPr>
        <w:t>MAIN</w:t>
      </w:r>
      <w:r w:rsidRPr="0069036B">
        <w:rPr>
          <w:rFonts w:asciiTheme="majorHAnsi" w:hAnsiTheme="majorHAnsi" w:cs="Arial"/>
          <w:b/>
        </w:rPr>
        <w:t xml:space="preserve"> señala que se han considerado dos alternativas:</w:t>
      </w:r>
      <w:r w:rsidRPr="0069036B">
        <w:rPr>
          <w:rFonts w:asciiTheme="majorHAnsi" w:hAnsiTheme="majorHAnsi" w:cs="Arial"/>
        </w:rPr>
        <w:t xml:space="preserve"> </w:t>
      </w:r>
    </w:p>
    <w:p w14:paraId="2216262F" w14:textId="77777777" w:rsidR="005F0380" w:rsidRPr="0069036B" w:rsidRDefault="00BF0A96" w:rsidP="005F0380">
      <w:pPr>
        <w:pStyle w:val="Prrafodelista"/>
        <w:numPr>
          <w:ilvl w:val="0"/>
          <w:numId w:val="31"/>
        </w:numPr>
        <w:spacing w:before="240" w:after="240"/>
        <w:jc w:val="both"/>
        <w:rPr>
          <w:rFonts w:asciiTheme="majorHAnsi" w:hAnsiTheme="majorHAnsi" w:cs="Arial"/>
        </w:rPr>
      </w:pPr>
      <w:r w:rsidRPr="0069036B">
        <w:rPr>
          <w:rFonts w:asciiTheme="majorHAnsi" w:hAnsiTheme="majorHAnsi" w:cs="Arial"/>
        </w:rPr>
        <w:t xml:space="preserve">aquella por la que se ha optado de esta modificación parcial, </w:t>
      </w:r>
    </w:p>
    <w:p w14:paraId="5A5A82BE" w14:textId="3FFE83E1" w:rsidR="00BF0A96" w:rsidRPr="0069036B" w:rsidRDefault="00BF0A96" w:rsidP="005F0380">
      <w:pPr>
        <w:pStyle w:val="Prrafodelista"/>
        <w:numPr>
          <w:ilvl w:val="0"/>
          <w:numId w:val="31"/>
        </w:numPr>
        <w:spacing w:before="240" w:after="240"/>
        <w:jc w:val="both"/>
        <w:rPr>
          <w:rFonts w:asciiTheme="majorHAnsi" w:hAnsiTheme="majorHAnsi" w:cs="Arial"/>
        </w:rPr>
      </w:pPr>
      <w:r w:rsidRPr="0069036B">
        <w:rPr>
          <w:rFonts w:asciiTheme="majorHAnsi" w:hAnsiTheme="majorHAnsi" w:cs="Arial"/>
        </w:rPr>
        <w:t>y una segunda que consistiría en “</w:t>
      </w:r>
      <w:r w:rsidRPr="0069036B">
        <w:rPr>
          <w:rFonts w:asciiTheme="majorHAnsi" w:hAnsiTheme="majorHAnsi" w:cs="Arial"/>
          <w:i/>
        </w:rPr>
        <w:t>No llevar a cabo la modificación dejando sin revisar o clarificar estos aspectos de la normativa de envases, hasta que se produzca la transposición completa de las Directivas por la que se modifican la Directiva Marco de Residuos y la Directiva de Envases y Residuos de Envases</w:t>
      </w:r>
      <w:r w:rsidRPr="0069036B">
        <w:rPr>
          <w:rFonts w:asciiTheme="majorHAnsi" w:hAnsiTheme="majorHAnsi" w:cs="Arial"/>
        </w:rPr>
        <w:t xml:space="preserve">”. </w:t>
      </w:r>
    </w:p>
    <w:p w14:paraId="45B76D96" w14:textId="3DC0253C" w:rsidR="000256C0" w:rsidRPr="0069036B" w:rsidRDefault="000256C0" w:rsidP="009F60B1">
      <w:pPr>
        <w:spacing w:before="240" w:after="240" w:line="276" w:lineRule="auto"/>
        <w:ind w:left="708"/>
        <w:jc w:val="both"/>
        <w:rPr>
          <w:rFonts w:asciiTheme="majorHAnsi" w:hAnsiTheme="majorHAnsi" w:cs="Arial"/>
        </w:rPr>
      </w:pPr>
      <w:r w:rsidRPr="0069036B">
        <w:rPr>
          <w:rFonts w:asciiTheme="majorHAnsi" w:hAnsiTheme="majorHAnsi" w:cs="Arial"/>
        </w:rPr>
        <w:t xml:space="preserve">Para justificar esta decisión se expone que ello </w:t>
      </w:r>
      <w:r w:rsidRPr="0069036B">
        <w:rPr>
          <w:rFonts w:asciiTheme="majorHAnsi" w:hAnsiTheme="majorHAnsi" w:cs="Arial"/>
        </w:rPr>
        <w:t>“</w:t>
      </w:r>
      <w:r w:rsidRPr="0069036B">
        <w:rPr>
          <w:rFonts w:asciiTheme="majorHAnsi" w:hAnsiTheme="majorHAnsi" w:cs="Arial"/>
          <w:i/>
        </w:rPr>
        <w:t>supone mejorar antes las condiciones de financiación que perciben las entidades locales por cumplir con la obligación de los sistemas integrados de gestión de recoger de forma periódica los envases en el domicilio del consumidor o en sus proximidades</w:t>
      </w:r>
      <w:r w:rsidRPr="0069036B">
        <w:rPr>
          <w:rFonts w:asciiTheme="majorHAnsi" w:hAnsiTheme="majorHAnsi" w:cs="Arial"/>
        </w:rPr>
        <w:t xml:space="preserve">”. </w:t>
      </w:r>
    </w:p>
    <w:p w14:paraId="38DFD3B2" w14:textId="65B5F66B" w:rsidR="0095580C" w:rsidRPr="0069036B" w:rsidRDefault="000256C0" w:rsidP="005F0380">
      <w:pPr>
        <w:spacing w:before="240" w:after="240" w:line="276" w:lineRule="auto"/>
        <w:ind w:left="708"/>
        <w:jc w:val="both"/>
        <w:rPr>
          <w:rFonts w:asciiTheme="majorHAnsi" w:hAnsiTheme="majorHAnsi" w:cs="Arial"/>
        </w:rPr>
      </w:pPr>
      <w:r w:rsidRPr="0069036B">
        <w:rPr>
          <w:rFonts w:asciiTheme="majorHAnsi" w:hAnsiTheme="majorHAnsi" w:cs="Arial"/>
        </w:rPr>
        <w:t xml:space="preserve">En nuestra opinión, esta </w:t>
      </w:r>
      <w:r w:rsidRPr="0069036B">
        <w:rPr>
          <w:rFonts w:asciiTheme="majorHAnsi" w:hAnsiTheme="majorHAnsi" w:cs="Arial"/>
          <w:b/>
        </w:rPr>
        <w:t>opción conlleva aumentar antes del plazo fijado por las autoridades europeas, las obligaciones de financiación de los sistemas integrados de gestión y, consiguientemente, de sus empresas adheridas y, en último lugar, de los ciudadanos.</w:t>
      </w:r>
      <w:r w:rsidRPr="0069036B">
        <w:rPr>
          <w:rFonts w:asciiTheme="majorHAnsi" w:hAnsiTheme="majorHAnsi" w:cs="Arial"/>
        </w:rPr>
        <w:t xml:space="preserve"> </w:t>
      </w:r>
      <w:r w:rsidRPr="0069036B">
        <w:rPr>
          <w:rFonts w:asciiTheme="majorHAnsi" w:hAnsiTheme="majorHAnsi" w:cs="Arial"/>
          <w:b/>
        </w:rPr>
        <w:t xml:space="preserve">No existe por tanto una razón más allá de la estrictamente financiera de uno de los agentes del sistema de gestión de residuos y no se está teniendo en cuenta de manera claramente definida el papel de todas las partes involucradas, con sus roles y responsabilidades nítidamente expuestos; lo cual solo se alcanza mediante la transposición global. </w:t>
      </w:r>
      <w:r w:rsidRPr="0069036B">
        <w:rPr>
          <w:rFonts w:asciiTheme="majorHAnsi" w:hAnsiTheme="majorHAnsi" w:cs="Arial"/>
        </w:rPr>
        <w:t xml:space="preserve"> </w:t>
      </w:r>
    </w:p>
    <w:p w14:paraId="5626AA19" w14:textId="77777777" w:rsidR="00C97758" w:rsidRPr="0069036B" w:rsidRDefault="00C97758" w:rsidP="005F0380">
      <w:pPr>
        <w:pStyle w:val="Prrafodelista"/>
        <w:jc w:val="both"/>
        <w:rPr>
          <w:rFonts w:asciiTheme="majorHAnsi" w:hAnsiTheme="majorHAnsi"/>
        </w:rPr>
      </w:pPr>
    </w:p>
    <w:p w14:paraId="09D7417E" w14:textId="4DDE61F4" w:rsidR="008A15EB" w:rsidRPr="0069036B" w:rsidRDefault="008A15EB" w:rsidP="005F0380">
      <w:pPr>
        <w:pStyle w:val="Prrafodelista"/>
        <w:numPr>
          <w:ilvl w:val="0"/>
          <w:numId w:val="29"/>
        </w:numPr>
        <w:jc w:val="both"/>
        <w:rPr>
          <w:rFonts w:asciiTheme="majorHAnsi" w:hAnsiTheme="majorHAnsi"/>
          <w:b/>
        </w:rPr>
      </w:pPr>
      <w:r w:rsidRPr="0069036B">
        <w:rPr>
          <w:rFonts w:asciiTheme="majorHAnsi" w:hAnsiTheme="majorHAnsi"/>
          <w:b/>
        </w:rPr>
        <w:t>Quiebra del principio de seguridad jurídica</w:t>
      </w:r>
    </w:p>
    <w:p w14:paraId="7BD07D5A" w14:textId="77777777" w:rsidR="005F0380" w:rsidRPr="0069036B" w:rsidRDefault="000256C0" w:rsidP="005F0380">
      <w:pPr>
        <w:spacing w:before="240" w:after="240" w:line="276" w:lineRule="auto"/>
        <w:ind w:left="708"/>
        <w:jc w:val="both"/>
        <w:rPr>
          <w:rFonts w:asciiTheme="majorHAnsi" w:hAnsiTheme="majorHAnsi" w:cs="Arial"/>
        </w:rPr>
      </w:pPr>
      <w:r w:rsidRPr="0069036B">
        <w:rPr>
          <w:rFonts w:asciiTheme="majorHAnsi" w:hAnsiTheme="majorHAnsi"/>
        </w:rPr>
        <w:t xml:space="preserve">Por otro lado, </w:t>
      </w:r>
      <w:r w:rsidRPr="0069036B">
        <w:rPr>
          <w:rFonts w:asciiTheme="majorHAnsi" w:hAnsiTheme="majorHAnsi" w:cs="Arial"/>
        </w:rPr>
        <w:t>la</w:t>
      </w:r>
      <w:r w:rsidRPr="0069036B">
        <w:rPr>
          <w:rFonts w:asciiTheme="majorHAnsi" w:hAnsiTheme="majorHAnsi" w:cs="Arial"/>
        </w:rPr>
        <w:t xml:space="preserve"> transposición parcial podría implicar la vulneración de una serie de principios consustanciales a la buena regulación. </w:t>
      </w:r>
    </w:p>
    <w:p w14:paraId="1B7472DD" w14:textId="0B39AFF3" w:rsidR="000256C0" w:rsidRPr="0069036B" w:rsidRDefault="000256C0" w:rsidP="00A12507">
      <w:pPr>
        <w:pStyle w:val="Prrafodelista"/>
        <w:numPr>
          <w:ilvl w:val="0"/>
          <w:numId w:val="30"/>
        </w:numPr>
        <w:spacing w:before="240" w:after="240"/>
        <w:ind w:left="1068"/>
        <w:jc w:val="both"/>
        <w:rPr>
          <w:rFonts w:asciiTheme="majorHAnsi" w:hAnsiTheme="majorHAnsi" w:cs="Arial"/>
        </w:rPr>
      </w:pPr>
      <w:r w:rsidRPr="0069036B">
        <w:rPr>
          <w:rFonts w:asciiTheme="majorHAnsi" w:hAnsiTheme="majorHAnsi" w:cs="Arial"/>
        </w:rPr>
        <w:t xml:space="preserve">Desde el punto de vista temporal, la inclusión de una medida de este tipo de manera aislada tiene fuertes implicaciones para el principio de seguridad jurídica de todos los agentes implicados; así como para el principio de economía de los procedimientos. </w:t>
      </w:r>
      <w:r w:rsidR="00B139F3" w:rsidRPr="0069036B">
        <w:rPr>
          <w:rFonts w:asciiTheme="majorHAnsi" w:hAnsiTheme="majorHAnsi" w:cs="Arial"/>
        </w:rPr>
        <w:t xml:space="preserve">Las Directivas que componen el denominado “Paquete de Economía Circular” han sido ya objeto de publicación. En concreto, la Directiva de Residuos fue objeto de publicación en el Diario Oficial de la Unión Europea el pasado 14 de junio y se contempla un </w:t>
      </w:r>
      <w:r w:rsidR="00B139F3" w:rsidRPr="0069036B">
        <w:rPr>
          <w:rFonts w:asciiTheme="majorHAnsi" w:hAnsiTheme="majorHAnsi" w:cs="Arial"/>
          <w:b/>
        </w:rPr>
        <w:t>periodo de transposición que culmina el 5 de julio de 2020.</w:t>
      </w:r>
    </w:p>
    <w:p w14:paraId="3F1FBFAA" w14:textId="77777777" w:rsidR="00A12507" w:rsidRPr="0069036B" w:rsidRDefault="00A12507" w:rsidP="00A12507">
      <w:pPr>
        <w:pStyle w:val="Prrafodelista"/>
        <w:spacing w:before="240" w:after="240"/>
        <w:ind w:left="1068"/>
        <w:jc w:val="both"/>
        <w:rPr>
          <w:rFonts w:asciiTheme="majorHAnsi" w:hAnsiTheme="majorHAnsi" w:cs="Arial"/>
        </w:rPr>
      </w:pPr>
    </w:p>
    <w:p w14:paraId="445FF8CB" w14:textId="482F484B" w:rsidR="008E0523" w:rsidRPr="0069036B" w:rsidRDefault="008E0523" w:rsidP="005F0380">
      <w:pPr>
        <w:pStyle w:val="Prrafodelista"/>
        <w:numPr>
          <w:ilvl w:val="0"/>
          <w:numId w:val="30"/>
        </w:numPr>
        <w:spacing w:before="240" w:after="240"/>
        <w:ind w:left="1068"/>
        <w:jc w:val="both"/>
        <w:rPr>
          <w:rFonts w:asciiTheme="majorHAnsi" w:hAnsiTheme="majorHAnsi" w:cs="Arial"/>
        </w:rPr>
      </w:pPr>
      <w:r w:rsidRPr="0069036B">
        <w:rPr>
          <w:rFonts w:asciiTheme="majorHAnsi" w:hAnsiTheme="majorHAnsi" w:cs="Arial"/>
        </w:rPr>
        <w:lastRenderedPageBreak/>
        <w:t xml:space="preserve">La posibilidad de introducir esta reforma de carácter parcial plantea una serie de problemas de seguridad jurídica. El principio de seguridad jurídica está consagrado en el art. 9.3 de la Constitución y </w:t>
      </w:r>
      <w:r w:rsidRPr="0069036B">
        <w:rPr>
          <w:rFonts w:asciiTheme="majorHAnsi" w:hAnsiTheme="majorHAnsi" w:cs="Arial"/>
          <w:b/>
        </w:rPr>
        <w:t xml:space="preserve">el Tribunal Constitucional </w:t>
      </w:r>
      <w:r w:rsidRPr="0069036B">
        <w:rPr>
          <w:rFonts w:asciiTheme="majorHAnsi" w:hAnsiTheme="majorHAnsi" w:cs="Arial"/>
        </w:rPr>
        <w:t>ha señalado que “</w:t>
      </w:r>
      <w:r w:rsidRPr="0069036B">
        <w:rPr>
          <w:rFonts w:asciiTheme="majorHAnsi" w:hAnsiTheme="majorHAnsi" w:cs="Arial"/>
          <w:i/>
        </w:rPr>
        <w:t xml:space="preserve">una legislación </w:t>
      </w:r>
      <w:r w:rsidRPr="0069036B">
        <w:rPr>
          <w:rFonts w:asciiTheme="majorHAnsi" w:hAnsiTheme="majorHAnsi" w:cs="Arial"/>
        </w:rPr>
        <w:t>confusa, oscura e</w:t>
      </w:r>
      <w:r w:rsidRPr="0069036B">
        <w:rPr>
          <w:rFonts w:asciiTheme="majorHAnsi" w:hAnsiTheme="majorHAnsi" w:cs="Arial"/>
          <w:i/>
        </w:rPr>
        <w:t xml:space="preserve"> incompleta, dificulta su aplicación y, además de socavar la certeza del Derecho y la confianza de los ciudadanos en el mismo, puede terminar por empañar el valor de la justicia</w:t>
      </w:r>
      <w:r w:rsidRPr="0069036B">
        <w:rPr>
          <w:rFonts w:asciiTheme="majorHAnsi" w:hAnsiTheme="majorHAnsi" w:cs="Arial"/>
        </w:rPr>
        <w:t>” (</w:t>
      </w:r>
      <w:r w:rsidRPr="0069036B">
        <w:rPr>
          <w:rFonts w:asciiTheme="majorHAnsi" w:hAnsiTheme="majorHAnsi" w:cs="Arial"/>
          <w:b/>
        </w:rPr>
        <w:t>STC 150/1990</w:t>
      </w:r>
      <w:r w:rsidRPr="0069036B">
        <w:rPr>
          <w:rFonts w:asciiTheme="majorHAnsi" w:hAnsiTheme="majorHAnsi" w:cs="Arial"/>
        </w:rPr>
        <w:t>), e igualmente ha afirmado que la exigencia del 9.3 relativa al principio de seguridad jurídica implica que “el legislador debe perseguir la claridad y no la confusión normativa, debe procurar que acerca de la materia sobre la que se legisle sepan los operadores jurídicos y los ciudadanos a qué atenerse” (</w:t>
      </w:r>
      <w:r w:rsidRPr="0069036B">
        <w:rPr>
          <w:rFonts w:asciiTheme="majorHAnsi" w:hAnsiTheme="majorHAnsi" w:cs="Arial"/>
          <w:b/>
        </w:rPr>
        <w:t>STC 46/1990</w:t>
      </w:r>
      <w:r w:rsidRPr="0069036B">
        <w:rPr>
          <w:rFonts w:asciiTheme="majorHAnsi" w:hAnsiTheme="majorHAnsi" w:cs="Arial"/>
        </w:rPr>
        <w:t>).</w:t>
      </w:r>
    </w:p>
    <w:p w14:paraId="58F53079" w14:textId="77777777" w:rsidR="00831F3D" w:rsidRPr="0069036B" w:rsidRDefault="00831F3D" w:rsidP="005F0380">
      <w:pPr>
        <w:pStyle w:val="Prrafodelista"/>
        <w:spacing w:before="240" w:after="240"/>
        <w:ind w:left="1068"/>
        <w:jc w:val="both"/>
        <w:rPr>
          <w:rFonts w:asciiTheme="majorHAnsi" w:hAnsiTheme="majorHAnsi" w:cs="Arial"/>
        </w:rPr>
      </w:pPr>
    </w:p>
    <w:p w14:paraId="56332EAC" w14:textId="39BA6C1A" w:rsidR="00FF5759" w:rsidRPr="0069036B" w:rsidRDefault="00B139F3" w:rsidP="005F0380">
      <w:pPr>
        <w:pStyle w:val="Prrafodelista"/>
        <w:numPr>
          <w:ilvl w:val="0"/>
          <w:numId w:val="30"/>
        </w:numPr>
        <w:spacing w:before="240" w:after="240"/>
        <w:ind w:left="1068"/>
        <w:jc w:val="both"/>
        <w:rPr>
          <w:rFonts w:asciiTheme="majorHAnsi" w:hAnsiTheme="majorHAnsi"/>
        </w:rPr>
      </w:pPr>
      <w:r w:rsidRPr="0069036B">
        <w:rPr>
          <w:rFonts w:asciiTheme="majorHAnsi" w:hAnsiTheme="majorHAnsi"/>
        </w:rPr>
        <w:t>L</w:t>
      </w:r>
      <w:r w:rsidR="008E0523" w:rsidRPr="0069036B">
        <w:rPr>
          <w:rFonts w:asciiTheme="majorHAnsi" w:hAnsiTheme="majorHAnsi"/>
        </w:rPr>
        <w:t xml:space="preserve">a </w:t>
      </w:r>
      <w:r w:rsidR="008E0523" w:rsidRPr="0069036B">
        <w:rPr>
          <w:rFonts w:asciiTheme="majorHAnsi" w:hAnsiTheme="majorHAnsi" w:cs="Arial"/>
          <w:b/>
        </w:rPr>
        <w:t xml:space="preserve">Ley 39/2015, de </w:t>
      </w:r>
      <w:proofErr w:type="gramStart"/>
      <w:r w:rsidR="008E0523" w:rsidRPr="0069036B">
        <w:rPr>
          <w:rFonts w:asciiTheme="majorHAnsi" w:hAnsiTheme="majorHAnsi" w:cs="Arial"/>
          <w:b/>
        </w:rPr>
        <w:t>1  de</w:t>
      </w:r>
      <w:proofErr w:type="gramEnd"/>
      <w:r w:rsidR="008E0523" w:rsidRPr="0069036B">
        <w:rPr>
          <w:rFonts w:asciiTheme="majorHAnsi" w:hAnsiTheme="majorHAnsi" w:cs="Arial"/>
          <w:b/>
        </w:rPr>
        <w:t xml:space="preserve">  octubre,  del  Procedimiento  Administrativo Común de las Administraciones Públicas</w:t>
      </w:r>
      <w:r w:rsidR="008E0523" w:rsidRPr="0069036B">
        <w:rPr>
          <w:rFonts w:asciiTheme="majorHAnsi" w:hAnsiTheme="majorHAnsi" w:cs="Arial"/>
          <w:b/>
        </w:rPr>
        <w:t xml:space="preserve">, </w:t>
      </w:r>
      <w:r w:rsidR="008E0523" w:rsidRPr="0069036B">
        <w:rPr>
          <w:rFonts w:asciiTheme="majorHAnsi" w:hAnsiTheme="majorHAnsi" w:cs="Arial"/>
        </w:rPr>
        <w:t>obliga a seguir unos principios de buena regulación</w:t>
      </w:r>
      <w:r w:rsidR="00FF5759" w:rsidRPr="0069036B">
        <w:rPr>
          <w:rFonts w:asciiTheme="majorHAnsi" w:hAnsiTheme="majorHAnsi" w:cs="Arial"/>
        </w:rPr>
        <w:t>. En el</w:t>
      </w:r>
      <w:r w:rsidR="00FF5759" w:rsidRPr="0069036B">
        <w:rPr>
          <w:rFonts w:asciiTheme="majorHAnsi" w:hAnsiTheme="majorHAnsi" w:cs="Arial"/>
          <w:b/>
        </w:rPr>
        <w:t xml:space="preserve"> </w:t>
      </w:r>
      <w:r w:rsidR="00FF5759" w:rsidRPr="0069036B">
        <w:rPr>
          <w:rFonts w:asciiTheme="majorHAnsi" w:hAnsiTheme="majorHAnsi" w:cs="Arial"/>
          <w:b/>
        </w:rPr>
        <w:t>art. 129</w:t>
      </w:r>
      <w:r w:rsidR="00FF5759" w:rsidRPr="0069036B">
        <w:rPr>
          <w:rFonts w:asciiTheme="majorHAnsi" w:hAnsiTheme="majorHAnsi" w:cs="Arial"/>
          <w:b/>
        </w:rPr>
        <w:t xml:space="preserve"> </w:t>
      </w:r>
      <w:r w:rsidR="00FF5759" w:rsidRPr="0069036B">
        <w:rPr>
          <w:rFonts w:asciiTheme="majorHAnsi" w:hAnsiTheme="majorHAnsi" w:cs="Arial"/>
        </w:rPr>
        <w:t xml:space="preserve">se recoge expresamente </w:t>
      </w:r>
      <w:r w:rsidR="00FF5759" w:rsidRPr="0069036B">
        <w:rPr>
          <w:rFonts w:asciiTheme="majorHAnsi" w:hAnsiTheme="majorHAnsi" w:cs="Arial"/>
        </w:rPr>
        <w:t>que,</w:t>
      </w:r>
      <w:r w:rsidR="00FF5759" w:rsidRPr="0069036B">
        <w:rPr>
          <w:rFonts w:asciiTheme="majorHAnsi" w:hAnsiTheme="majorHAnsi" w:cs="Arial"/>
        </w:rPr>
        <w:t xml:space="preserve"> en el ejercicio de la iniciativa legislativa y la potestad reglamentaria, las Administraciones Públicas deben actuar de acuerdo con los principios de necesidad, eficacia, proporcionalidad, seguridad jurídica, transparencia, y eficiencia. En concreto el apartado 4 dice: “</w:t>
      </w:r>
      <w:r w:rsidR="00FF5759" w:rsidRPr="0069036B">
        <w:rPr>
          <w:rFonts w:asciiTheme="majorHAnsi" w:hAnsiTheme="majorHAnsi" w:cs="Arial"/>
          <w:i/>
        </w:rPr>
        <w:t>A fin de garantizar el principio de seguridad jurídica, la iniciativa normativa se ejercerá de manera coherente con el resto del ordenamiento jurídico, nacional y de la Unión Europea, para generar un marco normativo estable, predecible, integrado, claro y de certidumbre, que facilite su conocimiento y comprensión y, en consecuencia, la actuación y toma de decisiones de las personas y empresas”.</w:t>
      </w:r>
      <w:r w:rsidR="00831F3D" w:rsidRPr="0069036B">
        <w:rPr>
          <w:rFonts w:asciiTheme="majorHAnsi" w:hAnsiTheme="majorHAnsi" w:cs="Arial"/>
          <w:i/>
        </w:rPr>
        <w:t xml:space="preserve"> </w:t>
      </w:r>
      <w:r w:rsidR="00831F3D" w:rsidRPr="0069036B">
        <w:rPr>
          <w:rFonts w:asciiTheme="majorHAnsi" w:hAnsiTheme="majorHAnsi" w:cs="Arial"/>
          <w:b/>
        </w:rPr>
        <w:t>Una reforma parcial de una norma que indefectiblemente va a sufrir una reforma mayor en un breve espacio tiempo por exigencia comunitaria no parecería contribuir a un marco normativo estable, predecible e integrado. Máxime si tenemos en cuenta que la reforma es un todo, con una visión integral y no parcial, con elementos interconectados que van a implicar decisiones a adoptar por parte de todos los operadores jurídicos que tienen roles y responsabilidades dentro del sistema de gestión de los residuos en nuestro país.</w:t>
      </w:r>
    </w:p>
    <w:p w14:paraId="7EBEA3C1" w14:textId="77777777" w:rsidR="008E0523" w:rsidRPr="0069036B" w:rsidRDefault="008E0523" w:rsidP="005F0380">
      <w:pPr>
        <w:pStyle w:val="Prrafodelista"/>
        <w:ind w:left="1068"/>
        <w:jc w:val="both"/>
        <w:rPr>
          <w:rFonts w:asciiTheme="majorHAnsi" w:hAnsiTheme="majorHAnsi"/>
        </w:rPr>
      </w:pPr>
    </w:p>
    <w:p w14:paraId="541B7919" w14:textId="34688E5B" w:rsidR="00B139F3" w:rsidRPr="0069036B" w:rsidRDefault="008E355F" w:rsidP="00B139F3">
      <w:pPr>
        <w:pStyle w:val="Prrafodelista"/>
        <w:numPr>
          <w:ilvl w:val="0"/>
          <w:numId w:val="30"/>
        </w:numPr>
        <w:spacing w:before="240" w:after="240"/>
        <w:ind w:left="1068"/>
        <w:jc w:val="both"/>
        <w:rPr>
          <w:rFonts w:asciiTheme="majorHAnsi" w:hAnsiTheme="majorHAnsi" w:cs="Arial"/>
        </w:rPr>
      </w:pPr>
      <w:r w:rsidRPr="0069036B">
        <w:rPr>
          <w:rFonts w:asciiTheme="majorHAnsi" w:hAnsiTheme="majorHAnsi" w:cs="Arial"/>
        </w:rPr>
        <w:t>L</w:t>
      </w:r>
      <w:r w:rsidR="00B139F3" w:rsidRPr="0069036B">
        <w:rPr>
          <w:rFonts w:asciiTheme="majorHAnsi" w:hAnsiTheme="majorHAnsi" w:cs="Arial"/>
        </w:rPr>
        <w:t>as</w:t>
      </w:r>
      <w:r w:rsidR="00B139F3" w:rsidRPr="0069036B">
        <w:rPr>
          <w:rFonts w:asciiTheme="majorHAnsi" w:hAnsiTheme="majorHAnsi" w:cs="Arial"/>
          <w:b/>
        </w:rPr>
        <w:t xml:space="preserve"> Directrices de Técnica Normativa de 2005</w:t>
      </w:r>
      <w:r w:rsidR="00B139F3" w:rsidRPr="0069036B">
        <w:rPr>
          <w:rFonts w:asciiTheme="majorHAnsi" w:hAnsiTheme="majorHAnsi" w:cs="Arial"/>
        </w:rPr>
        <w:t xml:space="preserve">, aplicables a los </w:t>
      </w:r>
      <w:r w:rsidRPr="0069036B">
        <w:rPr>
          <w:rFonts w:asciiTheme="majorHAnsi" w:hAnsiTheme="majorHAnsi" w:cs="Arial"/>
        </w:rPr>
        <w:t xml:space="preserve">reales </w:t>
      </w:r>
      <w:proofErr w:type="gramStart"/>
      <w:r w:rsidRPr="0069036B">
        <w:rPr>
          <w:rFonts w:asciiTheme="majorHAnsi" w:hAnsiTheme="majorHAnsi" w:cs="Arial"/>
        </w:rPr>
        <w:t>decretos</w:t>
      </w:r>
      <w:r w:rsidR="00B139F3" w:rsidRPr="0069036B">
        <w:rPr>
          <w:rFonts w:asciiTheme="majorHAnsi" w:hAnsiTheme="majorHAnsi" w:cs="Arial"/>
        </w:rPr>
        <w:t>,  invitan</w:t>
      </w:r>
      <w:proofErr w:type="gramEnd"/>
      <w:r w:rsidR="00B139F3" w:rsidRPr="0069036B">
        <w:rPr>
          <w:rFonts w:asciiTheme="majorHAnsi" w:hAnsiTheme="majorHAnsi" w:cs="Arial"/>
        </w:rPr>
        <w:t xml:space="preserve"> en cuanto a la estructura de estos a que contengan un “Único objeto.–</w:t>
      </w:r>
      <w:r w:rsidR="00B139F3" w:rsidRPr="0069036B">
        <w:rPr>
          <w:rFonts w:asciiTheme="majorHAnsi" w:hAnsiTheme="majorHAnsi" w:cs="Arial"/>
          <w:i/>
        </w:rPr>
        <w:t xml:space="preserve">En la medida de lo posible, en una misma disposición deberá regularse </w:t>
      </w:r>
      <w:r w:rsidR="00B139F3" w:rsidRPr="0069036B">
        <w:rPr>
          <w:rFonts w:asciiTheme="majorHAnsi" w:hAnsiTheme="majorHAnsi" w:cs="Arial"/>
        </w:rPr>
        <w:t xml:space="preserve">un único objeto, </w:t>
      </w:r>
      <w:r w:rsidR="00B139F3" w:rsidRPr="0069036B">
        <w:rPr>
          <w:rFonts w:asciiTheme="majorHAnsi" w:hAnsiTheme="majorHAnsi" w:cs="Arial"/>
          <w:i/>
        </w:rPr>
        <w:t xml:space="preserve">todo el contenido del objeto </w:t>
      </w:r>
      <w:r w:rsidR="00B139F3" w:rsidRPr="0069036B">
        <w:rPr>
          <w:rFonts w:asciiTheme="majorHAnsi" w:hAnsiTheme="majorHAnsi" w:cs="Arial"/>
        </w:rPr>
        <w:t xml:space="preserve">y, si </w:t>
      </w:r>
      <w:r w:rsidR="00B139F3" w:rsidRPr="0069036B">
        <w:rPr>
          <w:rFonts w:asciiTheme="majorHAnsi" w:hAnsiTheme="majorHAnsi" w:cs="Arial"/>
          <w:i/>
        </w:rPr>
        <w:t>procede, los aspectos que guarden directa relación con él</w:t>
      </w:r>
      <w:r w:rsidR="00B139F3" w:rsidRPr="0069036B">
        <w:rPr>
          <w:rFonts w:asciiTheme="majorHAnsi" w:hAnsiTheme="majorHAnsi" w:cs="Arial"/>
        </w:rPr>
        <w:t>. En este sentido, en los supuestos de reglamentos de ejecución de una ley, se procurará que sean completos y no parciales”. Esta misma filosofía es perfectamente trasladable al ámbito de la transposición de las directivas comunitarias cuando la norma objeto de modificación (en este caso la Ley 11/1997, de 24 de abril, de Envases y Residuos de Envases) va a tener que incluir como se acaba de señalar, obligatoriamente, otras modificaciones en un breve espacio de tiempo.</w:t>
      </w:r>
    </w:p>
    <w:p w14:paraId="10D2F46A" w14:textId="77777777" w:rsidR="000A6A09" w:rsidRPr="0069036B" w:rsidRDefault="000A6A09" w:rsidP="000A6A09">
      <w:pPr>
        <w:pStyle w:val="Prrafodelista"/>
        <w:spacing w:before="240" w:after="240"/>
        <w:ind w:left="1068"/>
        <w:jc w:val="both"/>
        <w:rPr>
          <w:rFonts w:asciiTheme="majorHAnsi" w:hAnsiTheme="majorHAnsi" w:cs="Arial"/>
        </w:rPr>
      </w:pPr>
    </w:p>
    <w:p w14:paraId="637ACA89" w14:textId="6F5F6138" w:rsidR="000A6A09" w:rsidRPr="0069036B" w:rsidRDefault="000A6A09" w:rsidP="000A6A09">
      <w:pPr>
        <w:pStyle w:val="Prrafodelista"/>
        <w:numPr>
          <w:ilvl w:val="0"/>
          <w:numId w:val="30"/>
        </w:numPr>
        <w:spacing w:before="240" w:after="240"/>
        <w:ind w:left="1068"/>
        <w:jc w:val="both"/>
        <w:rPr>
          <w:rFonts w:asciiTheme="majorHAnsi" w:hAnsiTheme="majorHAnsi" w:cs="Arial"/>
        </w:rPr>
      </w:pPr>
      <w:r w:rsidRPr="0069036B">
        <w:rPr>
          <w:rFonts w:asciiTheme="majorHAnsi" w:hAnsiTheme="majorHAnsi" w:cs="Arial"/>
        </w:rPr>
        <w:t>E</w:t>
      </w:r>
      <w:r w:rsidRPr="0069036B">
        <w:rPr>
          <w:rFonts w:asciiTheme="majorHAnsi" w:hAnsiTheme="majorHAnsi" w:cs="Arial"/>
        </w:rPr>
        <w:t>l</w:t>
      </w:r>
      <w:r w:rsidRPr="0069036B">
        <w:rPr>
          <w:rFonts w:asciiTheme="majorHAnsi" w:hAnsiTheme="majorHAnsi" w:cs="Arial"/>
          <w:b/>
        </w:rPr>
        <w:t xml:space="preserve"> Consejo de Estado</w:t>
      </w:r>
      <w:r w:rsidRPr="0069036B">
        <w:rPr>
          <w:rFonts w:asciiTheme="majorHAnsi" w:hAnsiTheme="majorHAnsi" w:cs="Arial"/>
        </w:rPr>
        <w:t xml:space="preserve">, en su Memoria del año 1992 afirmaba que “la seguridad jurídica garantizada en el art. 9.3 de la Constitución española significa que todos, tanto los poderes públicos como los ciudadanos, sepan a qué atenerse, lo cual supone por un lado un conocimiento cierto de las leyes vigentes y, por otro, </w:t>
      </w:r>
      <w:r w:rsidRPr="0069036B">
        <w:rPr>
          <w:rFonts w:asciiTheme="majorHAnsi" w:hAnsiTheme="majorHAnsi" w:cs="Arial"/>
          <w:i/>
        </w:rPr>
        <w:t>una cierta estabilidad de las normas y de las situaciones que en ella se definen</w:t>
      </w:r>
      <w:r w:rsidRPr="0069036B">
        <w:rPr>
          <w:rFonts w:asciiTheme="majorHAnsi" w:hAnsiTheme="majorHAnsi" w:cs="Arial"/>
        </w:rPr>
        <w:t xml:space="preserve">. </w:t>
      </w:r>
      <w:r w:rsidRPr="0069036B">
        <w:rPr>
          <w:rFonts w:asciiTheme="majorHAnsi" w:hAnsiTheme="majorHAnsi" w:cs="Arial"/>
          <w:i/>
        </w:rPr>
        <w:t>Esas dos circunstancias, certeza y estabilidad, deben coexistir en un estado de Derecho</w:t>
      </w:r>
      <w:r w:rsidRPr="0069036B">
        <w:rPr>
          <w:rFonts w:asciiTheme="majorHAnsi" w:hAnsiTheme="majorHAnsi" w:cs="Arial"/>
        </w:rPr>
        <w:t xml:space="preserve">”. Por </w:t>
      </w:r>
      <w:proofErr w:type="gramStart"/>
      <w:r w:rsidRPr="0069036B">
        <w:rPr>
          <w:rFonts w:asciiTheme="majorHAnsi" w:hAnsiTheme="majorHAnsi" w:cs="Arial"/>
        </w:rPr>
        <w:t>tanto</w:t>
      </w:r>
      <w:proofErr w:type="gramEnd"/>
      <w:r w:rsidRPr="0069036B">
        <w:rPr>
          <w:rFonts w:asciiTheme="majorHAnsi" w:hAnsiTheme="majorHAnsi" w:cs="Arial"/>
        </w:rPr>
        <w:t xml:space="preserve"> proceder, a la reforma de una norma en los próximos meses cuando se tiene ya el conocimiento cierto, por exigencia comunitaria, de que en el plazo de menos de 23 meses esa misma norma va a tener que ser objeto de una nueva modificación, incide directamente sobre el principio de seguridad jurídica.</w:t>
      </w:r>
    </w:p>
    <w:p w14:paraId="054B6C90" w14:textId="66B48E26" w:rsidR="00FF5759" w:rsidRPr="0069036B" w:rsidRDefault="00FF5759" w:rsidP="005F0380">
      <w:pPr>
        <w:pStyle w:val="Prrafodelista"/>
        <w:ind w:left="1068"/>
        <w:jc w:val="both"/>
        <w:rPr>
          <w:rFonts w:asciiTheme="majorHAnsi" w:hAnsiTheme="majorHAnsi" w:cs="Arial"/>
        </w:rPr>
      </w:pPr>
    </w:p>
    <w:p w14:paraId="3D8D686F" w14:textId="18945B2B" w:rsidR="000A6A09" w:rsidRPr="0069036B" w:rsidRDefault="000A6A09" w:rsidP="000A6A09">
      <w:pPr>
        <w:pStyle w:val="Prrafodelista"/>
        <w:spacing w:before="240" w:after="240"/>
        <w:ind w:left="1068"/>
        <w:jc w:val="both"/>
        <w:rPr>
          <w:rFonts w:asciiTheme="majorHAnsi" w:hAnsiTheme="majorHAnsi" w:cs="Arial"/>
        </w:rPr>
      </w:pPr>
      <w:r w:rsidRPr="0069036B">
        <w:rPr>
          <w:rFonts w:asciiTheme="majorHAnsi" w:hAnsiTheme="majorHAnsi" w:cs="Arial"/>
        </w:rPr>
        <w:t>E</w:t>
      </w:r>
      <w:r w:rsidRPr="0069036B">
        <w:rPr>
          <w:rFonts w:asciiTheme="majorHAnsi" w:hAnsiTheme="majorHAnsi" w:cs="Arial"/>
        </w:rPr>
        <w:t xml:space="preserve">l citado </w:t>
      </w:r>
      <w:r w:rsidRPr="0069036B">
        <w:rPr>
          <w:rFonts w:asciiTheme="majorHAnsi" w:hAnsiTheme="majorHAnsi" w:cs="Arial"/>
          <w:b/>
        </w:rPr>
        <w:t>Consejo de Estado</w:t>
      </w:r>
      <w:r w:rsidRPr="0069036B">
        <w:rPr>
          <w:rFonts w:asciiTheme="majorHAnsi" w:hAnsiTheme="majorHAnsi" w:cs="Arial"/>
        </w:rPr>
        <w:t xml:space="preserve">, órgano que al ser una norma objeto de transposición comunitaria obligatoriamente va a tener que emitir dictamen, se ha posicionado en más de una ocasión respecto a </w:t>
      </w:r>
      <w:proofErr w:type="gramStart"/>
      <w:r w:rsidRPr="0069036B">
        <w:rPr>
          <w:rFonts w:asciiTheme="majorHAnsi" w:hAnsiTheme="majorHAnsi" w:cs="Arial"/>
        </w:rPr>
        <w:t xml:space="preserve">la  </w:t>
      </w:r>
      <w:r w:rsidRPr="0069036B">
        <w:rPr>
          <w:rFonts w:asciiTheme="majorHAnsi" w:hAnsiTheme="majorHAnsi" w:cs="Arial"/>
          <w:b/>
        </w:rPr>
        <w:t>transposición</w:t>
      </w:r>
      <w:proofErr w:type="gramEnd"/>
      <w:r w:rsidRPr="0069036B">
        <w:rPr>
          <w:rFonts w:asciiTheme="majorHAnsi" w:hAnsiTheme="majorHAnsi" w:cs="Arial"/>
          <w:b/>
        </w:rPr>
        <w:t xml:space="preserve"> parcial de Directivas comunitarias</w:t>
      </w:r>
      <w:r w:rsidRPr="0069036B">
        <w:rPr>
          <w:rFonts w:asciiTheme="majorHAnsi" w:hAnsiTheme="majorHAnsi" w:cs="Arial"/>
        </w:rPr>
        <w:t xml:space="preserve">. </w:t>
      </w:r>
      <w:r w:rsidRPr="0069036B">
        <w:rPr>
          <w:rFonts w:asciiTheme="majorHAnsi" w:hAnsiTheme="majorHAnsi" w:cs="Arial"/>
        </w:rPr>
        <w:t>A</w:t>
      </w:r>
      <w:r w:rsidRPr="0069036B">
        <w:rPr>
          <w:rFonts w:asciiTheme="majorHAnsi" w:hAnsiTheme="majorHAnsi" w:cs="Arial"/>
        </w:rPr>
        <w:t>sí en su Dictamen núm. 851/2013,</w:t>
      </w:r>
      <w:r w:rsidRPr="0069036B">
        <w:rPr>
          <w:rFonts w:asciiTheme="majorHAnsi" w:hAnsiTheme="majorHAnsi" w:cs="Arial"/>
        </w:rPr>
        <w:t xml:space="preserve"> señalaba</w:t>
      </w:r>
      <w:r w:rsidRPr="0069036B">
        <w:rPr>
          <w:rFonts w:asciiTheme="majorHAnsi" w:hAnsiTheme="majorHAnsi" w:cs="Arial"/>
        </w:rPr>
        <w:t xml:space="preserve"> que “no es desde luego fácil analizar una transposición parcial de Directivas”.</w:t>
      </w:r>
    </w:p>
    <w:p w14:paraId="0E7A518C" w14:textId="77777777" w:rsidR="00A12507" w:rsidRPr="0069036B" w:rsidRDefault="00A12507" w:rsidP="000A6A09">
      <w:pPr>
        <w:pStyle w:val="Prrafodelista"/>
        <w:spacing w:before="240" w:after="240"/>
        <w:ind w:left="1068"/>
        <w:jc w:val="both"/>
        <w:rPr>
          <w:rFonts w:asciiTheme="majorHAnsi" w:hAnsiTheme="majorHAnsi" w:cs="Arial"/>
        </w:rPr>
      </w:pPr>
    </w:p>
    <w:p w14:paraId="3E9C1D52" w14:textId="77777777" w:rsidR="00734C3D" w:rsidRPr="0069036B" w:rsidRDefault="000A6A09" w:rsidP="00A12507">
      <w:pPr>
        <w:pStyle w:val="Prrafodelista"/>
        <w:spacing w:before="240" w:after="240"/>
        <w:ind w:left="1068"/>
        <w:jc w:val="both"/>
        <w:rPr>
          <w:rFonts w:asciiTheme="majorHAnsi" w:hAnsiTheme="majorHAnsi" w:cs="Arial"/>
        </w:rPr>
      </w:pPr>
      <w:r w:rsidRPr="0069036B">
        <w:rPr>
          <w:rFonts w:asciiTheme="majorHAnsi" w:hAnsiTheme="majorHAnsi" w:cs="Arial"/>
        </w:rPr>
        <w:t>Teniendo en cuenta que las Directivas que conforman el paquete de economía circular van a conllevar la modificación de diversas normas, considerando que ya se está tramitando un Borrador de anteproyecto de ley por la que se modifica la Ley 22/2011, de 28 de julio, de residuos y suelos contaminados; la incorporación de una reforma añadida y previa a la global, puede “derivar en una política legislativa que fisura el principio de seguridad jurídica” (</w:t>
      </w:r>
      <w:r w:rsidRPr="0069036B">
        <w:rPr>
          <w:rFonts w:asciiTheme="majorHAnsi" w:hAnsiTheme="majorHAnsi" w:cs="Arial"/>
          <w:b/>
        </w:rPr>
        <w:t>Dictámenes 376/2013, 680/2013, 851/2013 y 974/2013</w:t>
      </w:r>
      <w:r w:rsidRPr="0069036B">
        <w:rPr>
          <w:rFonts w:asciiTheme="majorHAnsi" w:hAnsiTheme="majorHAnsi" w:cs="Arial"/>
        </w:rPr>
        <w:t xml:space="preserve">, que precisamente traían causa de la transposición de una Directiva a través de diferentes instrumentos jurídicos de idéntica naturaleza en un lapso de tiempo muy breve). </w:t>
      </w:r>
      <w:r w:rsidR="00734C3D" w:rsidRPr="0069036B">
        <w:rPr>
          <w:rFonts w:asciiTheme="majorHAnsi" w:hAnsiTheme="majorHAnsi" w:cs="Arial"/>
        </w:rPr>
        <w:t>En este caso,</w:t>
      </w:r>
      <w:r w:rsidRPr="0069036B">
        <w:rPr>
          <w:rFonts w:asciiTheme="majorHAnsi" w:hAnsiTheme="majorHAnsi" w:cs="Arial"/>
        </w:rPr>
        <w:t xml:space="preserve"> van a articular, al menos, cuatro instrumentos de transposición: </w:t>
      </w:r>
    </w:p>
    <w:p w14:paraId="3BC7CA69" w14:textId="77777777" w:rsidR="00734C3D" w:rsidRPr="0069036B" w:rsidRDefault="000A6A09" w:rsidP="00010EFF">
      <w:pPr>
        <w:pStyle w:val="Prrafodelista"/>
        <w:numPr>
          <w:ilvl w:val="1"/>
          <w:numId w:val="33"/>
        </w:numPr>
        <w:spacing w:before="240" w:after="240"/>
        <w:rPr>
          <w:rFonts w:asciiTheme="majorHAnsi" w:hAnsiTheme="majorHAnsi" w:cs="Arial"/>
        </w:rPr>
      </w:pPr>
      <w:r w:rsidRPr="0069036B">
        <w:rPr>
          <w:rFonts w:asciiTheme="majorHAnsi" w:hAnsiTheme="majorHAnsi" w:cs="Arial"/>
        </w:rPr>
        <w:t xml:space="preserve">el borrador de anteproyecto concerniente a los residuos orgánicos y textiles, </w:t>
      </w:r>
    </w:p>
    <w:p w14:paraId="57F778A0" w14:textId="77777777" w:rsidR="00734C3D" w:rsidRPr="0069036B" w:rsidRDefault="000A6A09" w:rsidP="00010EFF">
      <w:pPr>
        <w:pStyle w:val="Prrafodelista"/>
        <w:numPr>
          <w:ilvl w:val="1"/>
          <w:numId w:val="33"/>
        </w:numPr>
        <w:spacing w:before="240" w:after="240"/>
        <w:rPr>
          <w:rFonts w:asciiTheme="majorHAnsi" w:hAnsiTheme="majorHAnsi" w:cs="Arial"/>
        </w:rPr>
      </w:pPr>
      <w:r w:rsidRPr="0069036B">
        <w:rPr>
          <w:rFonts w:asciiTheme="majorHAnsi" w:hAnsiTheme="majorHAnsi" w:cs="Arial"/>
        </w:rPr>
        <w:t xml:space="preserve">la anunciada reforma de la normativa de envases para la introducción del coste total, </w:t>
      </w:r>
    </w:p>
    <w:p w14:paraId="3BA17637" w14:textId="77777777" w:rsidR="00734C3D" w:rsidRPr="0069036B" w:rsidRDefault="000A6A09" w:rsidP="00010EFF">
      <w:pPr>
        <w:pStyle w:val="Prrafodelista"/>
        <w:numPr>
          <w:ilvl w:val="1"/>
          <w:numId w:val="33"/>
        </w:numPr>
        <w:spacing w:before="240" w:after="240"/>
        <w:rPr>
          <w:rFonts w:asciiTheme="majorHAnsi" w:hAnsiTheme="majorHAnsi" w:cs="Arial"/>
        </w:rPr>
      </w:pPr>
      <w:r w:rsidRPr="0069036B">
        <w:rPr>
          <w:rFonts w:asciiTheme="majorHAnsi" w:hAnsiTheme="majorHAnsi" w:cs="Arial"/>
        </w:rPr>
        <w:t xml:space="preserve">la reforma en la ley de residuos para la transposición de la mencionada directiva, </w:t>
      </w:r>
    </w:p>
    <w:p w14:paraId="74EC406A" w14:textId="4BDB6AEA" w:rsidR="000A6A09" w:rsidRPr="0069036B" w:rsidRDefault="000A6A09" w:rsidP="000B3DB2">
      <w:pPr>
        <w:pStyle w:val="Prrafodelista"/>
        <w:numPr>
          <w:ilvl w:val="1"/>
          <w:numId w:val="33"/>
        </w:numPr>
        <w:spacing w:before="240" w:after="240"/>
        <w:rPr>
          <w:rFonts w:asciiTheme="majorHAnsi" w:hAnsiTheme="majorHAnsi" w:cs="Arial"/>
        </w:rPr>
      </w:pPr>
      <w:r w:rsidRPr="0069036B">
        <w:rPr>
          <w:rFonts w:asciiTheme="majorHAnsi" w:hAnsiTheme="majorHAnsi" w:cs="Arial"/>
        </w:rPr>
        <w:t>y la reforma de la normativa de envases para incorporar la parte correspondiente de las directivas que integran el paquete de economía circular.</w:t>
      </w:r>
    </w:p>
    <w:p w14:paraId="37BE3640" w14:textId="77777777" w:rsidR="005F0380" w:rsidRPr="0069036B" w:rsidRDefault="005F0380" w:rsidP="00A12507">
      <w:pPr>
        <w:pStyle w:val="Prrafodelista"/>
        <w:ind w:left="1080"/>
        <w:jc w:val="both"/>
        <w:rPr>
          <w:rFonts w:asciiTheme="majorHAnsi" w:hAnsiTheme="majorHAnsi" w:cs="Arial"/>
        </w:rPr>
      </w:pPr>
    </w:p>
    <w:p w14:paraId="01A9EF7F" w14:textId="130D6E41" w:rsidR="008A15EB" w:rsidRPr="0069036B" w:rsidRDefault="008E0523" w:rsidP="005F0380">
      <w:pPr>
        <w:pStyle w:val="Prrafodelista"/>
        <w:jc w:val="both"/>
        <w:rPr>
          <w:rFonts w:asciiTheme="majorHAnsi" w:hAnsiTheme="majorHAnsi"/>
        </w:rPr>
      </w:pPr>
      <w:r w:rsidRPr="0069036B">
        <w:rPr>
          <w:rFonts w:asciiTheme="majorHAnsi" w:hAnsiTheme="majorHAnsi"/>
        </w:rPr>
        <w:t xml:space="preserve"> </w:t>
      </w:r>
    </w:p>
    <w:p w14:paraId="6760A514" w14:textId="43BC6336" w:rsidR="008A15EB" w:rsidRPr="0069036B" w:rsidRDefault="00480A26" w:rsidP="00480A26">
      <w:pPr>
        <w:pStyle w:val="Prrafodelista"/>
        <w:numPr>
          <w:ilvl w:val="0"/>
          <w:numId w:val="30"/>
        </w:numPr>
        <w:spacing w:before="240" w:after="240"/>
        <w:ind w:left="1068"/>
        <w:jc w:val="both"/>
        <w:rPr>
          <w:rFonts w:asciiTheme="majorHAnsi" w:hAnsiTheme="majorHAnsi"/>
          <w:b/>
        </w:rPr>
      </w:pPr>
      <w:r w:rsidRPr="0069036B">
        <w:rPr>
          <w:rFonts w:asciiTheme="majorHAnsi" w:hAnsiTheme="majorHAnsi" w:cs="Arial"/>
        </w:rPr>
        <w:t>L</w:t>
      </w:r>
      <w:r w:rsidRPr="0069036B">
        <w:rPr>
          <w:rFonts w:asciiTheme="majorHAnsi" w:hAnsiTheme="majorHAnsi" w:cs="Arial"/>
        </w:rPr>
        <w:t xml:space="preserve">a </w:t>
      </w:r>
      <w:r w:rsidRPr="0069036B">
        <w:rPr>
          <w:rFonts w:asciiTheme="majorHAnsi" w:hAnsiTheme="majorHAnsi" w:cs="Arial"/>
          <w:b/>
        </w:rPr>
        <w:t xml:space="preserve">Comisión Europea, </w:t>
      </w:r>
      <w:r w:rsidRPr="0069036B">
        <w:rPr>
          <w:rFonts w:asciiTheme="majorHAnsi" w:hAnsiTheme="majorHAnsi" w:cs="Arial"/>
        </w:rPr>
        <w:t xml:space="preserve">ha desarrollado la estrategia de "Legislar mejor", que tiene entre sus fines conseguir una normativa específica que no vaya más allá de lo necesario para </w:t>
      </w:r>
      <w:r w:rsidRPr="0069036B">
        <w:rPr>
          <w:rFonts w:asciiTheme="majorHAnsi" w:hAnsiTheme="majorHAnsi" w:cs="Arial"/>
        </w:rPr>
        <w:lastRenderedPageBreak/>
        <w:t>lograr sus objetivos; lo cual pone de manifiesto una voluntad, en este caso en el ámbito comunitario, de que no se promulguen más normas de las estrictamente necesarias.</w:t>
      </w:r>
    </w:p>
    <w:p w14:paraId="2D36F366" w14:textId="77777777" w:rsidR="00480A26" w:rsidRPr="0069036B" w:rsidRDefault="00480A26" w:rsidP="00480A26">
      <w:pPr>
        <w:pStyle w:val="Prrafodelista"/>
        <w:spacing w:before="240" w:after="240"/>
        <w:ind w:left="1068"/>
        <w:jc w:val="both"/>
        <w:rPr>
          <w:rFonts w:asciiTheme="majorHAnsi" w:hAnsiTheme="majorHAnsi"/>
          <w:b/>
        </w:rPr>
      </w:pPr>
    </w:p>
    <w:p w14:paraId="75409428" w14:textId="77B5A0E5" w:rsidR="00480A26" w:rsidRPr="0069036B" w:rsidRDefault="00480A26" w:rsidP="00480A26">
      <w:pPr>
        <w:pStyle w:val="Prrafodelista"/>
        <w:numPr>
          <w:ilvl w:val="0"/>
          <w:numId w:val="30"/>
        </w:numPr>
        <w:spacing w:before="240" w:after="240"/>
        <w:ind w:left="1068"/>
        <w:jc w:val="both"/>
        <w:rPr>
          <w:rFonts w:asciiTheme="majorHAnsi" w:hAnsiTheme="majorHAnsi"/>
          <w:b/>
        </w:rPr>
      </w:pPr>
      <w:r w:rsidRPr="0069036B">
        <w:rPr>
          <w:rFonts w:asciiTheme="majorHAnsi" w:hAnsiTheme="majorHAnsi" w:cs="Arial"/>
          <w:b/>
        </w:rPr>
        <w:t>CEOE</w:t>
      </w:r>
      <w:r w:rsidRPr="0069036B">
        <w:rPr>
          <w:rFonts w:asciiTheme="majorHAnsi" w:hAnsiTheme="majorHAnsi" w:cs="Arial"/>
        </w:rPr>
        <w:t xml:space="preserve"> viene elaborando desde 2015 un informe anual sobre las estadísticas de producción normativa. En, concreto </w:t>
      </w:r>
      <w:r w:rsidR="00C61316" w:rsidRPr="0069036B">
        <w:rPr>
          <w:rFonts w:asciiTheme="majorHAnsi" w:hAnsiTheme="majorHAnsi" w:cs="Arial"/>
        </w:rPr>
        <w:t>el</w:t>
      </w:r>
      <w:r w:rsidRPr="0069036B">
        <w:rPr>
          <w:rFonts w:asciiTheme="majorHAnsi" w:hAnsiTheme="majorHAnsi" w:cs="Arial"/>
        </w:rPr>
        <w:t xml:space="preserve"> informe de 2017, señalaba que “</w:t>
      </w:r>
      <w:r w:rsidRPr="0069036B">
        <w:rPr>
          <w:rFonts w:asciiTheme="majorHAnsi" w:hAnsiTheme="majorHAnsi" w:cs="Arial"/>
          <w:i/>
        </w:rPr>
        <w:t xml:space="preserve">con carácter general, </w:t>
      </w:r>
      <w:r w:rsidRPr="0069036B">
        <w:rPr>
          <w:rFonts w:asciiTheme="majorHAnsi" w:hAnsiTheme="majorHAnsi" w:cs="Arial"/>
          <w:b/>
          <w:i/>
        </w:rPr>
        <w:t>la agenda en materia normativa debería estar centrada en mejorar la eficiencia y la estabilidad del marco legislativo</w:t>
      </w:r>
      <w:r w:rsidRPr="0069036B">
        <w:rPr>
          <w:rFonts w:asciiTheme="majorHAnsi" w:hAnsiTheme="majorHAnsi" w:cs="Arial"/>
          <w:i/>
        </w:rPr>
        <w:t xml:space="preserve">, reduciendo su complejidad, </w:t>
      </w:r>
      <w:r w:rsidRPr="0069036B">
        <w:rPr>
          <w:rFonts w:asciiTheme="majorHAnsi" w:hAnsiTheme="majorHAnsi" w:cs="Arial"/>
          <w:b/>
          <w:i/>
        </w:rPr>
        <w:t>limitando la producción de normas</w:t>
      </w:r>
      <w:r w:rsidRPr="0069036B">
        <w:rPr>
          <w:rFonts w:asciiTheme="majorHAnsi" w:hAnsiTheme="majorHAnsi" w:cs="Arial"/>
          <w:i/>
        </w:rPr>
        <w:t xml:space="preserve">, y garantizando una cierta estabilidad del ordenamiento jurídico. De igual modo, </w:t>
      </w:r>
      <w:r w:rsidRPr="0069036B">
        <w:rPr>
          <w:rFonts w:asciiTheme="majorHAnsi" w:hAnsiTheme="majorHAnsi" w:cs="Arial"/>
          <w:b/>
          <w:i/>
        </w:rPr>
        <w:t>deben promulgarse</w:t>
      </w:r>
      <w:r w:rsidRPr="0069036B">
        <w:rPr>
          <w:rFonts w:asciiTheme="majorHAnsi" w:hAnsiTheme="majorHAnsi" w:cs="Arial"/>
          <w:i/>
        </w:rPr>
        <w:t xml:space="preserve"> </w:t>
      </w:r>
      <w:r w:rsidRPr="0069036B">
        <w:rPr>
          <w:rFonts w:asciiTheme="majorHAnsi" w:hAnsiTheme="majorHAnsi" w:cs="Arial"/>
          <w:b/>
          <w:i/>
        </w:rPr>
        <w:t>normas</w:t>
      </w:r>
      <w:r w:rsidRPr="0069036B">
        <w:rPr>
          <w:rFonts w:asciiTheme="majorHAnsi" w:hAnsiTheme="majorHAnsi" w:cs="Arial"/>
          <w:i/>
        </w:rPr>
        <w:t xml:space="preserve"> claras, simples y </w:t>
      </w:r>
      <w:r w:rsidRPr="0069036B">
        <w:rPr>
          <w:rFonts w:asciiTheme="majorHAnsi" w:hAnsiTheme="majorHAnsi" w:cs="Arial"/>
          <w:b/>
          <w:i/>
        </w:rPr>
        <w:t>en un número reducido</w:t>
      </w:r>
      <w:r w:rsidRPr="0069036B">
        <w:rPr>
          <w:rFonts w:asciiTheme="majorHAnsi" w:hAnsiTheme="majorHAnsi" w:cs="Arial"/>
          <w:i/>
        </w:rPr>
        <w:t xml:space="preserve"> con el fin de evitar ulteriores interpretaciones, así como trasponer la normativa europea sin introducir requisitos o cargas administrativas adicionales, y adoptar un sistema de coordinación legislativa entre las Administraciones Públicas</w:t>
      </w:r>
      <w:r w:rsidRPr="0069036B">
        <w:rPr>
          <w:rFonts w:asciiTheme="majorHAnsi" w:hAnsiTheme="majorHAnsi" w:cs="Arial"/>
        </w:rPr>
        <w:t xml:space="preserve">”; a lo que añadía en el primero de los informes, el de 2015, </w:t>
      </w:r>
      <w:r w:rsidRPr="0069036B">
        <w:rPr>
          <w:rFonts w:asciiTheme="majorHAnsi" w:hAnsiTheme="majorHAnsi" w:cs="Arial"/>
          <w:b/>
        </w:rPr>
        <w:t>la necesidad de</w:t>
      </w:r>
      <w:r w:rsidRPr="0069036B">
        <w:rPr>
          <w:rFonts w:asciiTheme="majorHAnsi" w:hAnsiTheme="majorHAnsi" w:cs="Arial"/>
        </w:rPr>
        <w:t xml:space="preserve"> “</w:t>
      </w:r>
      <w:r w:rsidRPr="0069036B">
        <w:rPr>
          <w:rFonts w:asciiTheme="majorHAnsi" w:hAnsiTheme="majorHAnsi" w:cs="Arial"/>
          <w:b/>
          <w:i/>
        </w:rPr>
        <w:t>evitar la profusión y la dispersión legislativa que fragmentan la unidad del mercado nacional y afectan al normal desarrollo de la actividad económica</w:t>
      </w:r>
      <w:r w:rsidRPr="0069036B">
        <w:rPr>
          <w:rFonts w:asciiTheme="majorHAnsi" w:hAnsiTheme="majorHAnsi" w:cs="Arial"/>
        </w:rPr>
        <w:t>”.</w:t>
      </w:r>
    </w:p>
    <w:p w14:paraId="09DB78F7" w14:textId="77777777" w:rsidR="00480A26" w:rsidRPr="0069036B" w:rsidRDefault="00480A26" w:rsidP="00480A26">
      <w:pPr>
        <w:pStyle w:val="Prrafodelista"/>
        <w:spacing w:before="240" w:after="240"/>
        <w:ind w:left="1068"/>
        <w:jc w:val="both"/>
        <w:rPr>
          <w:rFonts w:asciiTheme="majorHAnsi" w:hAnsiTheme="majorHAnsi"/>
          <w:b/>
        </w:rPr>
      </w:pPr>
    </w:p>
    <w:p w14:paraId="21F82331" w14:textId="3FAE62AF" w:rsidR="008A15EB" w:rsidRDefault="008A15EB" w:rsidP="005F0380">
      <w:pPr>
        <w:pStyle w:val="Prrafodelista"/>
        <w:numPr>
          <w:ilvl w:val="0"/>
          <w:numId w:val="29"/>
        </w:numPr>
        <w:jc w:val="both"/>
        <w:rPr>
          <w:rFonts w:asciiTheme="majorHAnsi" w:hAnsiTheme="majorHAnsi"/>
          <w:b/>
        </w:rPr>
      </w:pPr>
      <w:r w:rsidRPr="0069036B">
        <w:rPr>
          <w:rFonts w:asciiTheme="majorHAnsi" w:hAnsiTheme="majorHAnsi"/>
          <w:b/>
        </w:rPr>
        <w:t>Quiebra de los principios de necesidad, eficacia (y de eficiencia) y de transparencia</w:t>
      </w:r>
    </w:p>
    <w:p w14:paraId="200CA39A" w14:textId="77777777" w:rsidR="009F60B1" w:rsidRPr="0069036B" w:rsidRDefault="009F60B1" w:rsidP="009F60B1">
      <w:pPr>
        <w:pStyle w:val="Prrafodelista"/>
        <w:jc w:val="both"/>
        <w:rPr>
          <w:rFonts w:asciiTheme="majorHAnsi" w:hAnsiTheme="majorHAnsi"/>
          <w:b/>
        </w:rPr>
      </w:pPr>
    </w:p>
    <w:p w14:paraId="57F2CA6A" w14:textId="25C409DC" w:rsidR="00554BAC" w:rsidRPr="0069036B" w:rsidRDefault="00AF55E4" w:rsidP="00010EFF">
      <w:pPr>
        <w:pStyle w:val="Prrafodelista"/>
        <w:numPr>
          <w:ilvl w:val="0"/>
          <w:numId w:val="33"/>
        </w:numPr>
        <w:spacing w:before="240" w:after="240"/>
        <w:rPr>
          <w:rFonts w:asciiTheme="majorHAnsi" w:hAnsiTheme="majorHAnsi" w:cs="Arial"/>
        </w:rPr>
      </w:pPr>
      <w:r w:rsidRPr="0069036B">
        <w:rPr>
          <w:rFonts w:asciiTheme="majorHAnsi" w:hAnsiTheme="majorHAnsi" w:cs="Arial"/>
        </w:rPr>
        <w:t>En cuanto al</w:t>
      </w:r>
      <w:r w:rsidRPr="0069036B">
        <w:rPr>
          <w:rFonts w:asciiTheme="majorHAnsi" w:hAnsiTheme="majorHAnsi" w:cs="Arial"/>
          <w:b/>
        </w:rPr>
        <w:t xml:space="preserve"> </w:t>
      </w:r>
      <w:r w:rsidRPr="0069036B">
        <w:rPr>
          <w:rFonts w:asciiTheme="majorHAnsi" w:hAnsiTheme="majorHAnsi" w:cs="Arial"/>
          <w:b/>
        </w:rPr>
        <w:t>principio de transparencia</w:t>
      </w:r>
      <w:r w:rsidRPr="0069036B">
        <w:rPr>
          <w:rFonts w:asciiTheme="majorHAnsi" w:hAnsiTheme="majorHAnsi" w:cs="Arial"/>
          <w:b/>
        </w:rPr>
        <w:t xml:space="preserve">: </w:t>
      </w:r>
      <w:r w:rsidRPr="0069036B">
        <w:rPr>
          <w:rFonts w:asciiTheme="majorHAnsi" w:hAnsiTheme="majorHAnsi" w:cs="Arial"/>
        </w:rPr>
        <w:t>t</w:t>
      </w:r>
      <w:r w:rsidR="008B5825" w:rsidRPr="0069036B">
        <w:rPr>
          <w:rFonts w:asciiTheme="majorHAnsi" w:hAnsiTheme="majorHAnsi" w:cs="Arial"/>
        </w:rPr>
        <w:t xml:space="preserve">odo procedimiento normativo conlleva, </w:t>
      </w:r>
      <w:r w:rsidR="00554BAC" w:rsidRPr="0069036B">
        <w:rPr>
          <w:rFonts w:asciiTheme="majorHAnsi" w:hAnsiTheme="majorHAnsi" w:cs="Arial"/>
        </w:rPr>
        <w:t>una serie de trámites de participación de la sociedad</w:t>
      </w:r>
      <w:r w:rsidR="00554BAC" w:rsidRPr="0069036B">
        <w:rPr>
          <w:rFonts w:asciiTheme="majorHAnsi" w:hAnsiTheme="majorHAnsi" w:cs="Arial"/>
        </w:rPr>
        <w:t xml:space="preserve"> según la siguiente normativa:</w:t>
      </w:r>
      <w:r w:rsidR="00010EFF" w:rsidRPr="0069036B">
        <w:rPr>
          <w:rFonts w:asciiTheme="majorHAnsi" w:hAnsiTheme="majorHAnsi" w:cs="Arial"/>
        </w:rPr>
        <w:t xml:space="preserve"> </w:t>
      </w:r>
    </w:p>
    <w:p w14:paraId="33508AD5" w14:textId="0E5724D7" w:rsidR="00554BAC" w:rsidRPr="0069036B" w:rsidRDefault="008B5825" w:rsidP="00010EFF">
      <w:pPr>
        <w:pStyle w:val="Prrafodelista"/>
        <w:numPr>
          <w:ilvl w:val="1"/>
          <w:numId w:val="33"/>
        </w:numPr>
        <w:spacing w:before="240" w:after="240"/>
        <w:rPr>
          <w:rFonts w:asciiTheme="majorHAnsi" w:hAnsiTheme="majorHAnsi" w:cs="Arial"/>
        </w:rPr>
      </w:pPr>
      <w:r w:rsidRPr="0069036B">
        <w:rPr>
          <w:rFonts w:asciiTheme="majorHAnsi" w:hAnsiTheme="majorHAnsi" w:cs="Arial"/>
        </w:rPr>
        <w:t>Ley 50/1997, de 27 de noviembre, del Gobierno</w:t>
      </w:r>
    </w:p>
    <w:p w14:paraId="11BD84A3" w14:textId="29B9D6EA" w:rsidR="008B5825" w:rsidRPr="0069036B" w:rsidRDefault="008B5825" w:rsidP="00010EFF">
      <w:pPr>
        <w:pStyle w:val="Prrafodelista"/>
        <w:numPr>
          <w:ilvl w:val="1"/>
          <w:numId w:val="33"/>
        </w:numPr>
        <w:spacing w:before="240" w:after="240"/>
        <w:rPr>
          <w:rFonts w:asciiTheme="majorHAnsi" w:hAnsiTheme="majorHAnsi" w:cs="Arial"/>
          <w:b/>
        </w:rPr>
      </w:pPr>
      <w:r w:rsidRPr="0069036B">
        <w:rPr>
          <w:rFonts w:asciiTheme="majorHAnsi" w:hAnsiTheme="majorHAnsi" w:cs="Arial"/>
        </w:rPr>
        <w:t>Ley 39/2015, de 1 de octubre, del Procedimiento Administrativo Común de las Administraciones Públicas</w:t>
      </w:r>
      <w:r w:rsidR="00554BAC" w:rsidRPr="0069036B">
        <w:rPr>
          <w:rFonts w:asciiTheme="majorHAnsi" w:hAnsiTheme="majorHAnsi" w:cs="Arial"/>
        </w:rPr>
        <w:t>, que</w:t>
      </w:r>
      <w:r w:rsidRPr="0069036B">
        <w:rPr>
          <w:rFonts w:asciiTheme="majorHAnsi" w:hAnsiTheme="majorHAnsi" w:cs="Arial"/>
        </w:rPr>
        <w:t xml:space="preserve"> recoge una serie de principios, antes citados, de buena regulación, entre los que está incluido el principio de participación pública que es proyección directa en este caso del </w:t>
      </w:r>
      <w:r w:rsidRPr="0069036B">
        <w:rPr>
          <w:rFonts w:asciiTheme="majorHAnsi" w:hAnsiTheme="majorHAnsi" w:cs="Arial"/>
          <w:b/>
        </w:rPr>
        <w:t>principio de transparencia</w:t>
      </w:r>
      <w:r w:rsidRPr="0069036B">
        <w:rPr>
          <w:rFonts w:asciiTheme="majorHAnsi" w:hAnsiTheme="majorHAnsi" w:cs="Arial"/>
        </w:rPr>
        <w:t>. En concreto el art. 129.5 de esta norma dice: “</w:t>
      </w:r>
      <w:r w:rsidRPr="0069036B">
        <w:rPr>
          <w:rFonts w:asciiTheme="majorHAnsi" w:hAnsiTheme="majorHAnsi" w:cs="Arial"/>
          <w:i/>
        </w:rPr>
        <w:t>En aplicación del principio de transparencia</w:t>
      </w:r>
      <w:r w:rsidRPr="0069036B">
        <w:rPr>
          <w:rFonts w:asciiTheme="majorHAnsi" w:hAnsiTheme="majorHAnsi" w:cs="Arial"/>
        </w:rPr>
        <w:t xml:space="preserve">, las Administraciones Públicas posibilitarán el acceso sencillo, universal y actualizado a la normativa en vigor y los documentos propios de su proceso de elaboración, en los términos establecidos en el artículo 7 de la Ley 19/2013, de 9 de diciembre, de transparencia, acceso a la información pública y buen gobierno; definirán claramente los objetivos de las iniciativas normativas y su justificación en el preámbulo o exposición de motivos; y </w:t>
      </w:r>
      <w:r w:rsidRPr="0069036B">
        <w:rPr>
          <w:rFonts w:asciiTheme="majorHAnsi" w:hAnsiTheme="majorHAnsi" w:cs="Arial"/>
          <w:i/>
        </w:rPr>
        <w:t>posibilitarán que los potenciales destinatarios tengan una participación activa en la elaboración de las normas</w:t>
      </w:r>
      <w:r w:rsidRPr="0069036B">
        <w:rPr>
          <w:rFonts w:asciiTheme="majorHAnsi" w:hAnsiTheme="majorHAnsi" w:cs="Arial"/>
        </w:rPr>
        <w:t>”.</w:t>
      </w:r>
    </w:p>
    <w:p w14:paraId="3705D659" w14:textId="77777777" w:rsidR="00010EFF" w:rsidRPr="0069036B" w:rsidRDefault="00010EFF" w:rsidP="00010EFF">
      <w:pPr>
        <w:pStyle w:val="Prrafodelista"/>
        <w:spacing w:before="240" w:after="240"/>
        <w:ind w:left="1080"/>
        <w:rPr>
          <w:rFonts w:asciiTheme="majorHAnsi" w:hAnsiTheme="majorHAnsi" w:cs="Arial"/>
          <w:b/>
        </w:rPr>
      </w:pPr>
    </w:p>
    <w:p w14:paraId="25C67918" w14:textId="470A4261" w:rsidR="00554BAC" w:rsidRPr="0069036B" w:rsidRDefault="00554BAC" w:rsidP="00AF55E4">
      <w:pPr>
        <w:pStyle w:val="Prrafodelista"/>
        <w:spacing w:before="240" w:after="240"/>
        <w:ind w:left="1800"/>
        <w:rPr>
          <w:rFonts w:asciiTheme="majorHAnsi" w:hAnsiTheme="majorHAnsi" w:cs="Arial"/>
        </w:rPr>
      </w:pPr>
      <w:r w:rsidRPr="0069036B">
        <w:rPr>
          <w:rFonts w:asciiTheme="majorHAnsi" w:hAnsiTheme="majorHAnsi" w:cs="Arial"/>
          <w:b/>
        </w:rPr>
        <w:t>No</w:t>
      </w:r>
      <w:r w:rsidRPr="0069036B">
        <w:rPr>
          <w:rFonts w:asciiTheme="majorHAnsi" w:hAnsiTheme="majorHAnsi" w:cs="Arial"/>
        </w:rPr>
        <w:t xml:space="preserve"> se cuestiona la posibilidad</w:t>
      </w:r>
      <w:r w:rsidRPr="0069036B">
        <w:rPr>
          <w:rFonts w:asciiTheme="majorHAnsi" w:hAnsiTheme="majorHAnsi" w:cs="Arial"/>
          <w:b/>
        </w:rPr>
        <w:t xml:space="preserve"> de participación pública</w:t>
      </w:r>
      <w:r w:rsidRPr="0069036B">
        <w:rPr>
          <w:rFonts w:asciiTheme="majorHAnsi" w:hAnsiTheme="majorHAnsi" w:cs="Arial"/>
        </w:rPr>
        <w:t xml:space="preserve">, </w:t>
      </w:r>
      <w:r w:rsidR="00AF55E4" w:rsidRPr="0069036B">
        <w:rPr>
          <w:rFonts w:asciiTheme="majorHAnsi" w:hAnsiTheme="majorHAnsi" w:cs="Arial"/>
        </w:rPr>
        <w:t>aunque en</w:t>
      </w:r>
      <w:r w:rsidRPr="0069036B">
        <w:rPr>
          <w:rFonts w:asciiTheme="majorHAnsi" w:hAnsiTheme="majorHAnsi" w:cs="Arial"/>
        </w:rPr>
        <w:t xml:space="preserve"> todo caso nos remitimos a lo </w:t>
      </w:r>
      <w:r w:rsidR="00010EFF" w:rsidRPr="0069036B">
        <w:rPr>
          <w:rFonts w:asciiTheme="majorHAnsi" w:hAnsiTheme="majorHAnsi" w:cs="Arial"/>
        </w:rPr>
        <w:t>anteriormente</w:t>
      </w:r>
      <w:r w:rsidRPr="0069036B">
        <w:rPr>
          <w:rFonts w:asciiTheme="majorHAnsi" w:hAnsiTheme="majorHAnsi" w:cs="Arial"/>
        </w:rPr>
        <w:t xml:space="preserve"> expuesto.</w:t>
      </w:r>
    </w:p>
    <w:p w14:paraId="324E3E48" w14:textId="77777777" w:rsidR="00010EFF" w:rsidRPr="0069036B" w:rsidRDefault="00010EFF" w:rsidP="00010EFF">
      <w:pPr>
        <w:pStyle w:val="Prrafodelista"/>
        <w:spacing w:before="240" w:after="240"/>
        <w:ind w:left="1080"/>
        <w:rPr>
          <w:rFonts w:asciiTheme="majorHAnsi" w:hAnsiTheme="majorHAnsi" w:cs="Arial"/>
        </w:rPr>
      </w:pPr>
    </w:p>
    <w:p w14:paraId="1E1A8751" w14:textId="77777777" w:rsidR="00AF55E4" w:rsidRPr="0069036B" w:rsidRDefault="00554BAC" w:rsidP="00AF55E4">
      <w:pPr>
        <w:pStyle w:val="Prrafodelista"/>
        <w:numPr>
          <w:ilvl w:val="0"/>
          <w:numId w:val="33"/>
        </w:numPr>
        <w:spacing w:before="240" w:after="240"/>
        <w:rPr>
          <w:rFonts w:asciiTheme="majorHAnsi" w:hAnsiTheme="majorHAnsi" w:cs="Arial"/>
        </w:rPr>
      </w:pPr>
      <w:r w:rsidRPr="0069036B">
        <w:rPr>
          <w:rFonts w:asciiTheme="majorHAnsi" w:hAnsiTheme="majorHAnsi" w:cs="Arial"/>
        </w:rPr>
        <w:lastRenderedPageBreak/>
        <w:t xml:space="preserve">Lo que sí que se cuestiona en este caso es la potencial vulneración de los </w:t>
      </w:r>
      <w:r w:rsidRPr="0069036B">
        <w:rPr>
          <w:rFonts w:asciiTheme="majorHAnsi" w:hAnsiTheme="majorHAnsi" w:cs="Arial"/>
          <w:b/>
        </w:rPr>
        <w:t>principios de necesidad y de eficacia</w:t>
      </w:r>
      <w:r w:rsidRPr="0069036B">
        <w:rPr>
          <w:rFonts w:asciiTheme="majorHAnsi" w:hAnsiTheme="majorHAnsi" w:cs="Arial"/>
        </w:rPr>
        <w:t xml:space="preserve">, que están igualmente contemplados entre los principios de buena regulación. </w:t>
      </w:r>
    </w:p>
    <w:p w14:paraId="177A89EF" w14:textId="77777777" w:rsidR="00AF55E4" w:rsidRPr="0069036B" w:rsidRDefault="00AF55E4" w:rsidP="00AF55E4">
      <w:pPr>
        <w:pStyle w:val="Prrafodelista"/>
        <w:spacing w:before="240" w:after="240"/>
        <w:ind w:left="1080"/>
        <w:rPr>
          <w:rFonts w:asciiTheme="majorHAnsi" w:hAnsiTheme="majorHAnsi" w:cs="Arial"/>
        </w:rPr>
      </w:pPr>
    </w:p>
    <w:p w14:paraId="61DDC76C" w14:textId="1EDA4F28" w:rsidR="009F60B1" w:rsidRDefault="00554BAC" w:rsidP="009F60B1">
      <w:pPr>
        <w:pStyle w:val="Prrafodelista"/>
        <w:spacing w:before="240" w:after="240"/>
        <w:ind w:left="1080"/>
        <w:rPr>
          <w:rFonts w:asciiTheme="majorHAnsi" w:hAnsiTheme="majorHAnsi" w:cs="Arial"/>
        </w:rPr>
      </w:pPr>
      <w:r w:rsidRPr="0069036B">
        <w:rPr>
          <w:rFonts w:asciiTheme="majorHAnsi" w:hAnsiTheme="majorHAnsi" w:cs="Arial"/>
        </w:rPr>
        <w:t xml:space="preserve">En concreto, el apartado 2 del art. 129 de la Ley 39/2015 establece que “En virtud de los principios de necesidad y eficacia, la iniciativa normativa debe estar </w:t>
      </w:r>
      <w:r w:rsidRPr="0069036B">
        <w:rPr>
          <w:rFonts w:asciiTheme="majorHAnsi" w:hAnsiTheme="majorHAnsi" w:cs="Arial"/>
          <w:i/>
        </w:rPr>
        <w:t>justificada por una razón de interés general</w:t>
      </w:r>
      <w:r w:rsidRPr="0069036B">
        <w:rPr>
          <w:rFonts w:asciiTheme="majorHAnsi" w:hAnsiTheme="majorHAnsi" w:cs="Arial"/>
        </w:rPr>
        <w:t xml:space="preserve">, basarse en una identificación clara de los fines perseguidos y </w:t>
      </w:r>
      <w:r w:rsidRPr="0069036B">
        <w:rPr>
          <w:rFonts w:asciiTheme="majorHAnsi" w:hAnsiTheme="majorHAnsi" w:cs="Arial"/>
          <w:i/>
        </w:rPr>
        <w:t>ser el instrumento más adecuado para garantizar su consecución</w:t>
      </w:r>
      <w:r w:rsidRPr="0069036B">
        <w:rPr>
          <w:rFonts w:asciiTheme="majorHAnsi" w:hAnsiTheme="majorHAnsi" w:cs="Arial"/>
        </w:rPr>
        <w:t xml:space="preserve">”. Resulta cuestionable que la anteposición unos meses de una reforma parcial de la Ley de Envases y Residuos de Envases, con un fin exclusivamente económico, y más concretamente de incrementar la financiación de los municipios, sea una razón de interés general y el instrumento más adecuado para garantizar la consecución de unos fines que solo alcanzan su lógica mediante una mediante una transposición completa de las directivas. </w:t>
      </w:r>
    </w:p>
    <w:p w14:paraId="381B7D96" w14:textId="77777777" w:rsidR="009F60B1" w:rsidRPr="009F60B1" w:rsidRDefault="009F60B1" w:rsidP="009F60B1">
      <w:pPr>
        <w:pStyle w:val="Prrafodelista"/>
        <w:spacing w:before="240" w:after="240"/>
        <w:ind w:left="1080"/>
        <w:rPr>
          <w:rFonts w:asciiTheme="majorHAnsi" w:hAnsiTheme="majorHAnsi" w:cs="Arial"/>
        </w:rPr>
      </w:pPr>
    </w:p>
    <w:p w14:paraId="134FB255" w14:textId="2A6BEAA3" w:rsidR="00157C7B" w:rsidRPr="0069036B" w:rsidRDefault="00157C7B" w:rsidP="00157C7B">
      <w:pPr>
        <w:pStyle w:val="Prrafodelista"/>
        <w:numPr>
          <w:ilvl w:val="0"/>
          <w:numId w:val="33"/>
        </w:numPr>
        <w:spacing w:before="240" w:after="240"/>
        <w:rPr>
          <w:rFonts w:asciiTheme="majorHAnsi" w:hAnsiTheme="majorHAnsi" w:cs="Arial"/>
        </w:rPr>
      </w:pPr>
      <w:r w:rsidRPr="0069036B">
        <w:rPr>
          <w:rFonts w:asciiTheme="majorHAnsi" w:hAnsiTheme="majorHAnsi" w:cs="Arial"/>
        </w:rPr>
        <w:t>P</w:t>
      </w:r>
      <w:r w:rsidRPr="0069036B">
        <w:rPr>
          <w:rFonts w:asciiTheme="majorHAnsi" w:hAnsiTheme="majorHAnsi" w:cs="Arial"/>
        </w:rPr>
        <w:t xml:space="preserve">or otro lado, la lógica voluntad de participación por parte de los actores afectados por unas directivas de tanto calado en distintos procedimientos implica una quiebra del </w:t>
      </w:r>
      <w:r w:rsidRPr="0069036B">
        <w:rPr>
          <w:rFonts w:asciiTheme="majorHAnsi" w:hAnsiTheme="majorHAnsi" w:cs="Arial"/>
          <w:b/>
        </w:rPr>
        <w:t>principio de eficiencia</w:t>
      </w:r>
      <w:r w:rsidRPr="0069036B">
        <w:rPr>
          <w:rFonts w:asciiTheme="majorHAnsi" w:hAnsiTheme="majorHAnsi" w:cs="Arial"/>
        </w:rPr>
        <w:t xml:space="preserve">, ya que supone un incremento de la carga administrativa para los mismos, particularmente cuando no concurre en el caso concreto de la anunciada modificación de la Ley de Envases y Residuos de Envases una necesidad real de anteponer su aprobación a la que conllevará la transposición global. Recordemos que el artículo 129.6 de la Ley 39/2015 nos dice: “6. En aplicación del principio de eficiencia, la iniciativa normativa </w:t>
      </w:r>
      <w:r w:rsidRPr="0069036B">
        <w:rPr>
          <w:rFonts w:asciiTheme="majorHAnsi" w:hAnsiTheme="majorHAnsi" w:cs="Arial"/>
          <w:i/>
        </w:rPr>
        <w:t>debe evitar cargas administrativas innecesarias o accesorias y racionalizar, en su aplicación, la gestión de los recursos públicos</w:t>
      </w:r>
      <w:r w:rsidRPr="0069036B">
        <w:rPr>
          <w:rFonts w:asciiTheme="majorHAnsi" w:hAnsiTheme="majorHAnsi" w:cs="Arial"/>
        </w:rPr>
        <w:t>”.</w:t>
      </w:r>
    </w:p>
    <w:p w14:paraId="08E33ACB" w14:textId="77777777" w:rsidR="00157C7B" w:rsidRPr="0069036B" w:rsidRDefault="00157C7B" w:rsidP="00157C7B">
      <w:pPr>
        <w:pStyle w:val="Prrafodelista"/>
        <w:spacing w:before="240" w:after="240"/>
        <w:ind w:left="1080"/>
        <w:rPr>
          <w:rFonts w:asciiTheme="majorHAnsi" w:hAnsiTheme="majorHAnsi" w:cs="Arial"/>
        </w:rPr>
      </w:pPr>
    </w:p>
    <w:p w14:paraId="73791123" w14:textId="164C519A" w:rsidR="00157C7B" w:rsidRPr="0069036B" w:rsidRDefault="00157C7B" w:rsidP="00157C7B">
      <w:pPr>
        <w:pStyle w:val="Prrafodelista"/>
        <w:spacing w:before="240" w:after="240"/>
        <w:ind w:left="1080"/>
        <w:rPr>
          <w:rFonts w:asciiTheme="majorHAnsi" w:hAnsiTheme="majorHAnsi" w:cs="Arial"/>
        </w:rPr>
      </w:pPr>
      <w:r w:rsidRPr="0069036B">
        <w:rPr>
          <w:rFonts w:asciiTheme="majorHAnsi" w:hAnsiTheme="majorHAnsi" w:cs="Arial"/>
        </w:rPr>
        <w:t xml:space="preserve">Parece cuestionable desde la perspectiva de la eficiencia, es decir de la consecución de unos objetivos dados mediante la utilización del menor volumen de recursos posibles, que se someta a una doble reforma reglamentaria una misma norma en un espacio de tiempo tan breve, con lo que ello implica de trámites y participación, ya no solo para los interesados que hagan uso de su legítimo derecho a participar en el procedimiento, sino de las propias administraciones implicadas en el mismo. Se está en definitiva quebrando el viejo </w:t>
      </w:r>
      <w:r w:rsidRPr="0069036B">
        <w:rPr>
          <w:rFonts w:asciiTheme="majorHAnsi" w:hAnsiTheme="majorHAnsi" w:cs="Arial"/>
          <w:b/>
        </w:rPr>
        <w:t>principio de economía procesal en</w:t>
      </w:r>
      <w:r w:rsidRPr="0069036B">
        <w:rPr>
          <w:rFonts w:asciiTheme="majorHAnsi" w:hAnsiTheme="majorHAnsi" w:cs="Arial"/>
        </w:rPr>
        <w:t xml:space="preserve"> virtud del cual cuando sean susceptible de ser tramitados o impulsados varios contenidos normativos dentro de un mismo instrumento, debe ser la solución adoptada.</w:t>
      </w:r>
    </w:p>
    <w:p w14:paraId="074F8645" w14:textId="10DEC9EE" w:rsidR="00C0682C" w:rsidRPr="0069036B" w:rsidRDefault="00C0682C" w:rsidP="005F0380">
      <w:pPr>
        <w:jc w:val="both"/>
        <w:rPr>
          <w:rFonts w:asciiTheme="majorHAnsi" w:hAnsiTheme="majorHAnsi"/>
        </w:rPr>
      </w:pPr>
    </w:p>
    <w:p w14:paraId="4DF5602A" w14:textId="06CA9B37" w:rsidR="00975AF5" w:rsidRDefault="00975AF5">
      <w:pPr>
        <w:rPr>
          <w:rFonts w:asciiTheme="majorHAnsi" w:hAnsiTheme="majorHAnsi"/>
        </w:rPr>
      </w:pPr>
      <w:r>
        <w:rPr>
          <w:rFonts w:asciiTheme="majorHAnsi" w:hAnsiTheme="majorHAnsi"/>
        </w:rPr>
        <w:br w:type="page"/>
      </w:r>
    </w:p>
    <w:p w14:paraId="25B14DDF" w14:textId="77777777" w:rsidR="00C0682C" w:rsidRPr="0069036B" w:rsidRDefault="00C0682C" w:rsidP="005F0380">
      <w:pPr>
        <w:jc w:val="both"/>
        <w:rPr>
          <w:rFonts w:asciiTheme="majorHAnsi" w:hAnsiTheme="majorHAnsi"/>
        </w:rPr>
      </w:pPr>
    </w:p>
    <w:p w14:paraId="0F77BE8E" w14:textId="07591D38" w:rsidR="00D4321D" w:rsidRPr="0069036B" w:rsidRDefault="00D4321D" w:rsidP="005F0380">
      <w:pPr>
        <w:contextualSpacing/>
        <w:jc w:val="both"/>
        <w:rPr>
          <w:rFonts w:asciiTheme="majorHAnsi" w:hAnsiTheme="majorHAnsi"/>
          <w:b/>
          <w:color w:val="DF4E13"/>
        </w:rPr>
      </w:pPr>
      <w:r w:rsidRPr="0069036B">
        <w:rPr>
          <w:rFonts w:asciiTheme="majorHAnsi" w:hAnsiTheme="majorHAnsi"/>
          <w:b/>
          <w:color w:val="DF4E13"/>
        </w:rPr>
        <w:t xml:space="preserve">REDACCION ALTERNATIVA Y OTRAS PROPUESTAS </w:t>
      </w:r>
    </w:p>
    <w:p w14:paraId="00C2A6AC" w14:textId="77777777" w:rsidR="00D4321D" w:rsidRPr="0069036B" w:rsidRDefault="00D4321D" w:rsidP="005F0380">
      <w:pPr>
        <w:jc w:val="both"/>
        <w:rPr>
          <w:rFonts w:asciiTheme="majorHAnsi" w:hAnsiTheme="majorHAnsi"/>
        </w:rPr>
      </w:pPr>
    </w:p>
    <w:p w14:paraId="618F7ABC" w14:textId="160746D3" w:rsidR="00213365" w:rsidRDefault="001C35AA" w:rsidP="005F0380">
      <w:pPr>
        <w:jc w:val="both"/>
        <w:rPr>
          <w:rFonts w:asciiTheme="majorHAnsi" w:hAnsiTheme="majorHAnsi"/>
        </w:rPr>
      </w:pPr>
      <w:r>
        <w:rPr>
          <w:rFonts w:asciiTheme="majorHAnsi" w:hAnsiTheme="majorHAnsi"/>
        </w:rPr>
        <w:t>En el caso de que se continúe con la decisión de realizar una transposición parcial, y no completa de las Directivas señaladas, incluimos las siguientes propuestas.</w:t>
      </w:r>
    </w:p>
    <w:p w14:paraId="0082598E" w14:textId="3034DB7A" w:rsidR="001C35AA" w:rsidRDefault="001C35AA" w:rsidP="005F0380">
      <w:pPr>
        <w:jc w:val="both"/>
        <w:rPr>
          <w:rFonts w:asciiTheme="majorHAnsi" w:hAnsiTheme="majorHAnsi"/>
        </w:rPr>
      </w:pPr>
    </w:p>
    <w:p w14:paraId="136BE024" w14:textId="77777777" w:rsidR="000F570D" w:rsidRDefault="000F570D" w:rsidP="005F0380">
      <w:pPr>
        <w:jc w:val="both"/>
        <w:rPr>
          <w:rFonts w:asciiTheme="majorHAnsi" w:hAnsiTheme="majorHAnsi"/>
          <w:b/>
        </w:rPr>
      </w:pPr>
    </w:p>
    <w:p w14:paraId="2EA693FC" w14:textId="7FDE29C4" w:rsidR="00F222BD" w:rsidRPr="00F222BD" w:rsidRDefault="00F222BD" w:rsidP="00F222BD">
      <w:pPr>
        <w:pStyle w:val="Prrafodelista"/>
        <w:numPr>
          <w:ilvl w:val="0"/>
          <w:numId w:val="34"/>
        </w:numPr>
        <w:jc w:val="both"/>
        <w:rPr>
          <w:rFonts w:asciiTheme="majorHAnsi" w:hAnsiTheme="majorHAnsi"/>
          <w:b/>
        </w:rPr>
      </w:pPr>
      <w:r w:rsidRPr="00F222BD">
        <w:rPr>
          <w:rFonts w:asciiTheme="majorHAnsi" w:hAnsiTheme="majorHAnsi"/>
          <w:b/>
        </w:rPr>
        <w:t>COMENTARIO X</w:t>
      </w:r>
    </w:p>
    <w:p w14:paraId="76D4B474" w14:textId="27C0E890" w:rsidR="001C35AA" w:rsidRPr="00F80124" w:rsidRDefault="001C35AA" w:rsidP="005F0380">
      <w:pPr>
        <w:jc w:val="both"/>
        <w:rPr>
          <w:rFonts w:asciiTheme="majorHAnsi" w:hAnsiTheme="majorHAnsi"/>
          <w:b/>
        </w:rPr>
      </w:pPr>
      <w:r w:rsidRPr="00F80124">
        <w:rPr>
          <w:rFonts w:asciiTheme="majorHAnsi" w:hAnsiTheme="majorHAnsi"/>
          <w:b/>
        </w:rPr>
        <w:t xml:space="preserve">Art. 10.2 de la Ley 11/1997, y </w:t>
      </w:r>
      <w:r w:rsidR="00F80124" w:rsidRPr="00F80124">
        <w:rPr>
          <w:rFonts w:asciiTheme="majorHAnsi" w:hAnsiTheme="majorHAnsi"/>
          <w:b/>
        </w:rPr>
        <w:t>del mismo artículo del Real Decreto 782/1998</w:t>
      </w:r>
    </w:p>
    <w:p w14:paraId="509CAFBA" w14:textId="260E4033" w:rsidR="00F80124" w:rsidRDefault="00F80124" w:rsidP="005F0380">
      <w:pPr>
        <w:jc w:val="both"/>
        <w:rPr>
          <w:rFonts w:asciiTheme="majorHAnsi" w:hAnsiTheme="majorHAnsi"/>
        </w:rPr>
      </w:pPr>
    </w:p>
    <w:p w14:paraId="14EB6899" w14:textId="49454190" w:rsidR="000F570D" w:rsidRDefault="000F570D" w:rsidP="005F0380">
      <w:pPr>
        <w:jc w:val="both"/>
        <w:rPr>
          <w:rFonts w:asciiTheme="majorHAnsi" w:hAnsiTheme="majorHAnsi"/>
        </w:rPr>
      </w:pPr>
    </w:p>
    <w:p w14:paraId="3E3FFDB7" w14:textId="35A80CCD" w:rsidR="000F570D" w:rsidRDefault="000F570D" w:rsidP="000F570D">
      <w:pPr>
        <w:jc w:val="both"/>
        <w:rPr>
          <w:rFonts w:asciiTheme="majorHAnsi" w:hAnsiTheme="majorHAnsi"/>
        </w:rPr>
      </w:pPr>
      <w:r>
        <w:rPr>
          <w:rFonts w:asciiTheme="majorHAnsi" w:hAnsiTheme="majorHAnsi"/>
        </w:rPr>
        <w:t>TEXTO PROYECTO DE RD</w:t>
      </w:r>
      <w:r>
        <w:rPr>
          <w:rFonts w:asciiTheme="majorHAnsi" w:hAnsiTheme="majorHAnsi"/>
        </w:rPr>
        <w:t>:</w:t>
      </w:r>
    </w:p>
    <w:p w14:paraId="257B3CAF" w14:textId="71E40280" w:rsidR="000F570D" w:rsidRDefault="000F570D" w:rsidP="0074659F">
      <w:pPr>
        <w:ind w:firstLine="567"/>
        <w:jc w:val="both"/>
        <w:rPr>
          <w:rFonts w:asciiTheme="majorHAnsi" w:hAnsiTheme="majorHAnsi"/>
        </w:rPr>
      </w:pPr>
      <w:r>
        <w:rPr>
          <w:rFonts w:asciiTheme="majorHAnsi" w:hAnsiTheme="majorHAnsi"/>
        </w:rPr>
        <w:t xml:space="preserve">Modificación </w:t>
      </w:r>
      <w:r w:rsidRPr="000F570D">
        <w:rPr>
          <w:rFonts w:ascii="Arial" w:hAnsi="Arial" w:cs="Arial"/>
          <w:b/>
        </w:rPr>
        <w:t>Artículo</w:t>
      </w:r>
      <w:r>
        <w:rPr>
          <w:rFonts w:asciiTheme="majorHAnsi" w:hAnsiTheme="majorHAnsi"/>
        </w:rPr>
        <w:t xml:space="preserve"> </w:t>
      </w:r>
      <w:r w:rsidRPr="00F80124">
        <w:rPr>
          <w:rFonts w:asciiTheme="majorHAnsi" w:hAnsiTheme="majorHAnsi"/>
          <w:b/>
        </w:rPr>
        <w:t>10.2 de la Ley 11/1997</w:t>
      </w:r>
    </w:p>
    <w:p w14:paraId="26ED8DD1" w14:textId="74AF6E18" w:rsidR="000F570D" w:rsidRPr="000947B7" w:rsidRDefault="000F570D" w:rsidP="000F570D">
      <w:pPr>
        <w:spacing w:before="240" w:after="240" w:line="276" w:lineRule="auto"/>
        <w:ind w:left="567" w:right="560"/>
        <w:rPr>
          <w:rFonts w:ascii="Arial" w:hAnsi="Arial" w:cs="Arial"/>
          <w:i/>
        </w:rPr>
      </w:pPr>
      <w:r w:rsidRPr="000947B7">
        <w:rPr>
          <w:rFonts w:ascii="Arial" w:hAnsi="Arial" w:cs="Arial"/>
          <w:i/>
        </w:rPr>
        <w:t xml:space="preserve">“2. Los sistemas integrados de gestión de residuos de envases y envases usados financiarán el coste del sistema de gestión regulado en la presente sección, incluyendo entre los costes originados por este último, el importe de la amortización y de la carga financiera de la inversión que sea necesario realizar en material móvil y en infraestructuras. </w:t>
      </w:r>
    </w:p>
    <w:p w14:paraId="02665B54" w14:textId="77777777" w:rsidR="000F570D" w:rsidRPr="000947B7" w:rsidRDefault="000F570D" w:rsidP="000F570D">
      <w:pPr>
        <w:spacing w:before="240" w:after="240" w:line="276" w:lineRule="auto"/>
        <w:ind w:left="567" w:right="560"/>
        <w:rPr>
          <w:rFonts w:ascii="Arial" w:hAnsi="Arial" w:cs="Arial"/>
          <w:i/>
        </w:rPr>
      </w:pPr>
      <w:r w:rsidRPr="000947B7">
        <w:rPr>
          <w:rFonts w:ascii="Arial" w:hAnsi="Arial" w:cs="Arial"/>
          <w:i/>
        </w:rPr>
        <w:t xml:space="preserve">A estos efectos, los sistemas integrados de gestión deberán compensar a las entidades locales que participen en ellos por los costes que, en cada caso, tengan efectivamente que soportar de acuerdo con lo indicado en el párrafo anterior, en los términos establecidos en el correspondiente convenio de colaboración. </w:t>
      </w:r>
    </w:p>
    <w:p w14:paraId="2BCA552C" w14:textId="77777777" w:rsidR="000F570D" w:rsidRPr="000947B7" w:rsidRDefault="000F570D" w:rsidP="000F570D">
      <w:pPr>
        <w:spacing w:before="240" w:after="240" w:line="276" w:lineRule="auto"/>
        <w:ind w:left="567" w:right="560"/>
        <w:rPr>
          <w:rFonts w:ascii="Arial" w:hAnsi="Arial" w:cs="Arial"/>
          <w:i/>
        </w:rPr>
      </w:pPr>
      <w:r w:rsidRPr="000947B7">
        <w:rPr>
          <w:rFonts w:ascii="Arial" w:hAnsi="Arial" w:cs="Arial"/>
          <w:i/>
        </w:rPr>
        <w:t>Cuando sean las comunidades autónomas las que realicen las actuaciones indicadas en el segundo párrafo del apartado 1 del artículo 9, serán dichas Administraciones las que deberán ser compensadas en los términos indicados en este apartado”.</w:t>
      </w:r>
    </w:p>
    <w:p w14:paraId="00F118A5" w14:textId="0AFFE792" w:rsidR="000F570D" w:rsidRDefault="000F570D" w:rsidP="005F0380">
      <w:pPr>
        <w:jc w:val="both"/>
        <w:rPr>
          <w:rFonts w:asciiTheme="majorHAnsi" w:hAnsiTheme="majorHAnsi"/>
        </w:rPr>
      </w:pPr>
      <w:r>
        <w:rPr>
          <w:rFonts w:asciiTheme="majorHAnsi" w:hAnsiTheme="majorHAnsi"/>
        </w:rPr>
        <w:t>TEXTO DIRECTIVA 2018/851, QUE MODIFICA LA 2008/98/CE, MARCO DE RESIDUOS:</w:t>
      </w:r>
    </w:p>
    <w:p w14:paraId="7AB6D728" w14:textId="7B433DAF" w:rsidR="000F570D" w:rsidRDefault="000F570D" w:rsidP="0074659F">
      <w:pPr>
        <w:ind w:firstLine="567"/>
        <w:jc w:val="both"/>
        <w:rPr>
          <w:rFonts w:ascii="Arial" w:hAnsi="Arial" w:cs="Arial"/>
        </w:rPr>
      </w:pPr>
      <w:r w:rsidRPr="000F570D">
        <w:rPr>
          <w:rFonts w:ascii="Arial" w:hAnsi="Arial" w:cs="Arial"/>
          <w:b/>
        </w:rPr>
        <w:t>A</w:t>
      </w:r>
      <w:r w:rsidRPr="000F570D">
        <w:rPr>
          <w:rFonts w:ascii="Arial" w:hAnsi="Arial" w:cs="Arial"/>
          <w:b/>
        </w:rPr>
        <w:t xml:space="preserve">rtículo 8bis </w:t>
      </w:r>
      <w:r w:rsidRPr="00DF1179">
        <w:rPr>
          <w:rFonts w:ascii="Arial" w:hAnsi="Arial" w:cs="Arial"/>
          <w:b/>
          <w:color w:val="FF0000"/>
        </w:rPr>
        <w:t>4.a</w:t>
      </w:r>
      <w:r w:rsidRPr="00DF1179">
        <w:rPr>
          <w:rFonts w:ascii="Arial" w:hAnsi="Arial" w:cs="Arial"/>
          <w:color w:val="FF0000"/>
        </w:rPr>
        <w:t>:</w:t>
      </w:r>
    </w:p>
    <w:p w14:paraId="5369172F" w14:textId="77777777" w:rsidR="000F570D" w:rsidRPr="000947B7" w:rsidRDefault="000F570D" w:rsidP="000F570D">
      <w:pPr>
        <w:spacing w:before="240" w:after="240" w:line="276" w:lineRule="auto"/>
        <w:ind w:left="567" w:right="560"/>
        <w:rPr>
          <w:rFonts w:ascii="Arial" w:hAnsi="Arial" w:cs="Arial"/>
          <w:i/>
        </w:rPr>
      </w:pPr>
      <w:r w:rsidRPr="000947B7">
        <w:rPr>
          <w:rFonts w:ascii="Arial" w:hAnsi="Arial" w:cs="Arial"/>
          <w:i/>
        </w:rPr>
        <w:t>“Los Estados miembros adoptarán las medidas necesarias para garantizar que las contribuciones financieras abonadas por el productor del producto para cumplir sus obligaciones en materia de responsabilidad ampliada del productor:</w:t>
      </w:r>
      <w:r w:rsidRPr="000947B7">
        <w:rPr>
          <w:rFonts w:ascii="Arial" w:hAnsi="Arial" w:cs="Arial"/>
        </w:rPr>
        <w:t xml:space="preserve"> </w:t>
      </w:r>
      <w:r w:rsidRPr="000947B7">
        <w:rPr>
          <w:rFonts w:ascii="Arial" w:hAnsi="Arial" w:cs="Arial"/>
          <w:i/>
        </w:rPr>
        <w:t>a) cubran los siguientes costes respecto de los productos que el productor comercialice en el mercado del Estado miembro de que se trate:</w:t>
      </w:r>
    </w:p>
    <w:p w14:paraId="01AB5772" w14:textId="3A01DAA0" w:rsidR="000F570D" w:rsidRDefault="000F570D" w:rsidP="000F570D">
      <w:pPr>
        <w:spacing w:before="240" w:after="240" w:line="276" w:lineRule="auto"/>
        <w:ind w:left="567"/>
        <w:rPr>
          <w:rFonts w:ascii="Arial" w:hAnsi="Arial" w:cs="Arial"/>
          <w:i/>
        </w:rPr>
      </w:pPr>
      <w:r w:rsidRPr="000947B7">
        <w:rPr>
          <w:rFonts w:ascii="Arial" w:hAnsi="Arial" w:cs="Arial"/>
          <w:i/>
        </w:rPr>
        <w:t xml:space="preserve">— los costes de la </w:t>
      </w:r>
      <w:r w:rsidRPr="000F570D">
        <w:rPr>
          <w:rFonts w:ascii="Arial" w:hAnsi="Arial" w:cs="Arial"/>
          <w:b/>
          <w:i/>
        </w:rPr>
        <w:t xml:space="preserve">recogida separada de residuos y su posterior transporte y tratamiento, </w:t>
      </w:r>
      <w:r w:rsidRPr="000947B7">
        <w:rPr>
          <w:rFonts w:ascii="Arial" w:hAnsi="Arial" w:cs="Arial"/>
          <w:i/>
        </w:rPr>
        <w:t xml:space="preserve">incluido el tratamiento necesario para cumplir los objetivos de gestión de residuos de la Unión, y los costes necesarios para cumplir otros objetivos y metas </w:t>
      </w:r>
      <w:r w:rsidRPr="000947B7">
        <w:rPr>
          <w:rFonts w:ascii="Arial" w:hAnsi="Arial" w:cs="Arial"/>
          <w:i/>
        </w:rPr>
        <w:lastRenderedPageBreak/>
        <w:t xml:space="preserve">a que se refiere el apartado 1, letra b), tomando en consideración los ingresos de la reutilización, de las ventas de materias primas secundarias de sus productos y de las cuantías de los depósitos no reclamadas”. </w:t>
      </w:r>
    </w:p>
    <w:p w14:paraId="278B2865" w14:textId="6545C990" w:rsidR="000F570D" w:rsidRDefault="000F570D" w:rsidP="0074659F">
      <w:pPr>
        <w:ind w:firstLine="567"/>
        <w:jc w:val="both"/>
        <w:rPr>
          <w:rFonts w:ascii="Arial" w:hAnsi="Arial" w:cs="Arial"/>
        </w:rPr>
      </w:pPr>
      <w:r w:rsidRPr="000F570D">
        <w:rPr>
          <w:rFonts w:ascii="Arial" w:hAnsi="Arial" w:cs="Arial"/>
          <w:b/>
        </w:rPr>
        <w:t xml:space="preserve">Artículo 8bis </w:t>
      </w:r>
      <w:r w:rsidRPr="00DF1179">
        <w:rPr>
          <w:rFonts w:ascii="Arial" w:hAnsi="Arial" w:cs="Arial"/>
          <w:b/>
          <w:color w:val="FF0000"/>
        </w:rPr>
        <w:t>4.</w:t>
      </w:r>
      <w:r w:rsidRPr="00DF1179">
        <w:rPr>
          <w:rFonts w:ascii="Arial" w:hAnsi="Arial" w:cs="Arial"/>
          <w:b/>
          <w:color w:val="FF0000"/>
        </w:rPr>
        <w:t>c</w:t>
      </w:r>
      <w:r w:rsidRPr="00DF1179">
        <w:rPr>
          <w:rFonts w:ascii="Arial" w:hAnsi="Arial" w:cs="Arial"/>
          <w:color w:val="FF0000"/>
        </w:rPr>
        <w:t>:</w:t>
      </w:r>
      <w:r w:rsidRPr="00DF1179">
        <w:rPr>
          <w:rFonts w:ascii="Arial" w:hAnsi="Arial" w:cs="Arial"/>
          <w:color w:val="FF0000"/>
        </w:rPr>
        <w:t xml:space="preserve"> </w:t>
      </w:r>
      <w:r>
        <w:rPr>
          <w:rFonts w:ascii="Arial" w:hAnsi="Arial" w:cs="Arial"/>
        </w:rPr>
        <w:t>alcance de las aportaciones financieras de los sistemas de RAP</w:t>
      </w:r>
    </w:p>
    <w:p w14:paraId="62653E3B" w14:textId="77777777" w:rsidR="00DF1179" w:rsidRDefault="00DF1179" w:rsidP="00DF1179">
      <w:pPr>
        <w:spacing w:before="240"/>
        <w:ind w:left="708"/>
        <w:rPr>
          <w:rFonts w:ascii="Arial" w:hAnsi="Arial" w:cs="Arial"/>
        </w:rPr>
      </w:pPr>
      <w:r>
        <w:rPr>
          <w:rFonts w:ascii="Arial" w:hAnsi="Arial" w:cs="Arial"/>
        </w:rPr>
        <w:t>V</w:t>
      </w:r>
      <w:r w:rsidR="000F570D" w:rsidRPr="000947B7">
        <w:rPr>
          <w:rFonts w:ascii="Arial" w:hAnsi="Arial" w:cs="Arial"/>
        </w:rPr>
        <w:t>ersión publicada en español</w:t>
      </w:r>
      <w:r>
        <w:rPr>
          <w:rFonts w:ascii="Arial" w:hAnsi="Arial" w:cs="Arial"/>
        </w:rPr>
        <w:t>:</w:t>
      </w:r>
    </w:p>
    <w:p w14:paraId="63DDA290" w14:textId="611151CC" w:rsidR="000F570D" w:rsidRPr="000947B7" w:rsidRDefault="000F570D" w:rsidP="00DF1179">
      <w:pPr>
        <w:spacing w:before="240"/>
        <w:ind w:left="708"/>
        <w:rPr>
          <w:rFonts w:ascii="Arial" w:hAnsi="Arial" w:cs="Arial"/>
        </w:rPr>
      </w:pPr>
      <w:r w:rsidRPr="000947B7">
        <w:rPr>
          <w:rFonts w:ascii="Arial" w:hAnsi="Arial" w:cs="Arial"/>
        </w:rPr>
        <w:t>se establece que los Estados miembros deberán garantizar que las aportaciones financieras de los sistemas de RAP “</w:t>
      </w:r>
      <w:r w:rsidRPr="000947B7">
        <w:rPr>
          <w:rFonts w:ascii="Arial" w:hAnsi="Arial" w:cs="Arial"/>
          <w:i/>
        </w:rPr>
        <w:t xml:space="preserve">no excedan de los costes que sean necesarios para prestar servicios de gestión de residuos </w:t>
      </w:r>
      <w:r w:rsidRPr="000947B7">
        <w:rPr>
          <w:rFonts w:ascii="Arial" w:hAnsi="Arial" w:cs="Arial"/>
          <w:b/>
          <w:i/>
        </w:rPr>
        <w:t xml:space="preserve">de manera </w:t>
      </w:r>
      <w:r w:rsidRPr="000947B7">
        <w:rPr>
          <w:rFonts w:ascii="Arial" w:hAnsi="Arial" w:cs="Arial"/>
          <w:b/>
          <w:i/>
          <w:u w:val="single"/>
        </w:rPr>
        <w:t>eficaz</w:t>
      </w:r>
      <w:r w:rsidRPr="000947B7">
        <w:rPr>
          <w:rFonts w:ascii="Arial" w:hAnsi="Arial" w:cs="Arial"/>
          <w:i/>
        </w:rPr>
        <w:t xml:space="preserve"> en relación con los costes</w:t>
      </w:r>
      <w:r w:rsidRPr="000947B7">
        <w:rPr>
          <w:rFonts w:ascii="Arial" w:hAnsi="Arial" w:cs="Arial"/>
        </w:rPr>
        <w:t>”.</w:t>
      </w:r>
    </w:p>
    <w:p w14:paraId="5FCB29A5" w14:textId="77777777" w:rsidR="00DF1179" w:rsidRDefault="00DF1179" w:rsidP="00DF1179">
      <w:pPr>
        <w:spacing w:before="240"/>
        <w:ind w:left="708"/>
        <w:rPr>
          <w:rFonts w:ascii="Arial" w:hAnsi="Arial" w:cs="Arial"/>
          <w:lang w:val="en-US"/>
        </w:rPr>
      </w:pPr>
      <w:proofErr w:type="spellStart"/>
      <w:r w:rsidRPr="00DF1179">
        <w:rPr>
          <w:rFonts w:ascii="Arial" w:hAnsi="Arial" w:cs="Arial"/>
          <w:lang w:val="en-US"/>
        </w:rPr>
        <w:t>Versión</w:t>
      </w:r>
      <w:proofErr w:type="spellEnd"/>
      <w:r w:rsidRPr="00DF1179">
        <w:rPr>
          <w:rFonts w:ascii="Arial" w:hAnsi="Arial" w:cs="Arial"/>
          <w:lang w:val="en-US"/>
        </w:rPr>
        <w:t xml:space="preserve"> </w:t>
      </w:r>
      <w:proofErr w:type="spellStart"/>
      <w:r w:rsidRPr="00DF1179">
        <w:rPr>
          <w:rFonts w:ascii="Arial" w:hAnsi="Arial" w:cs="Arial"/>
          <w:lang w:val="en-US"/>
        </w:rPr>
        <w:t>publicada</w:t>
      </w:r>
      <w:proofErr w:type="spellEnd"/>
      <w:r>
        <w:rPr>
          <w:rFonts w:ascii="Arial" w:hAnsi="Arial" w:cs="Arial"/>
          <w:lang w:val="en-US"/>
        </w:rPr>
        <w:t xml:space="preserve"> </w:t>
      </w:r>
      <w:proofErr w:type="spellStart"/>
      <w:r w:rsidR="000F570D" w:rsidRPr="000947B7">
        <w:rPr>
          <w:rFonts w:ascii="Arial" w:hAnsi="Arial" w:cs="Arial"/>
          <w:lang w:val="en-US"/>
        </w:rPr>
        <w:t>en</w:t>
      </w:r>
      <w:proofErr w:type="spellEnd"/>
      <w:r w:rsidR="000F570D" w:rsidRPr="000947B7">
        <w:rPr>
          <w:rFonts w:ascii="Arial" w:hAnsi="Arial" w:cs="Arial"/>
          <w:lang w:val="en-US"/>
        </w:rPr>
        <w:t xml:space="preserve"> </w:t>
      </w:r>
      <w:proofErr w:type="spellStart"/>
      <w:r w:rsidR="000F570D" w:rsidRPr="000947B7">
        <w:rPr>
          <w:rFonts w:ascii="Arial" w:hAnsi="Arial" w:cs="Arial"/>
          <w:lang w:val="en-US"/>
        </w:rPr>
        <w:t>inglés</w:t>
      </w:r>
      <w:proofErr w:type="spellEnd"/>
      <w:r>
        <w:rPr>
          <w:rFonts w:ascii="Arial" w:hAnsi="Arial" w:cs="Arial"/>
          <w:lang w:val="en-US"/>
        </w:rPr>
        <w:t>:</w:t>
      </w:r>
    </w:p>
    <w:p w14:paraId="48B26539" w14:textId="10097A95" w:rsidR="000F570D" w:rsidRPr="000947B7" w:rsidRDefault="000F570D" w:rsidP="00DF1179">
      <w:pPr>
        <w:spacing w:before="240"/>
        <w:ind w:left="708"/>
        <w:rPr>
          <w:rFonts w:ascii="Arial" w:hAnsi="Arial" w:cs="Arial"/>
          <w:lang w:val="en-US"/>
        </w:rPr>
      </w:pPr>
      <w:r w:rsidRPr="000947B7">
        <w:rPr>
          <w:rFonts w:ascii="Arial" w:hAnsi="Arial" w:cs="Arial"/>
          <w:lang w:val="en-US"/>
        </w:rPr>
        <w:t xml:space="preserve"> “</w:t>
      </w:r>
      <w:r w:rsidRPr="000947B7">
        <w:rPr>
          <w:rFonts w:ascii="Arial" w:hAnsi="Arial" w:cs="Arial"/>
          <w:i/>
          <w:lang w:val="en-US"/>
        </w:rPr>
        <w:t xml:space="preserve">do not exceed the costs that are necessary to provide waste management services in </w:t>
      </w:r>
      <w:r w:rsidRPr="000947B7">
        <w:rPr>
          <w:rFonts w:ascii="Arial" w:hAnsi="Arial" w:cs="Arial"/>
          <w:b/>
          <w:i/>
          <w:lang w:val="en-US"/>
        </w:rPr>
        <w:t>a cost-</w:t>
      </w:r>
      <w:r w:rsidRPr="000947B7">
        <w:rPr>
          <w:rFonts w:ascii="Arial" w:hAnsi="Arial" w:cs="Arial"/>
          <w:b/>
          <w:i/>
          <w:u w:val="single"/>
          <w:lang w:val="en-US"/>
        </w:rPr>
        <w:t>efficient</w:t>
      </w:r>
      <w:r w:rsidRPr="000947B7">
        <w:rPr>
          <w:rFonts w:ascii="Arial" w:hAnsi="Arial" w:cs="Arial"/>
          <w:b/>
          <w:i/>
          <w:lang w:val="en-US"/>
        </w:rPr>
        <w:t xml:space="preserve"> way</w:t>
      </w:r>
      <w:r w:rsidRPr="000947B7">
        <w:rPr>
          <w:rFonts w:ascii="Arial" w:hAnsi="Arial" w:cs="Arial"/>
          <w:lang w:val="en-US"/>
        </w:rPr>
        <w:t>”.</w:t>
      </w:r>
    </w:p>
    <w:p w14:paraId="41528DFA" w14:textId="77777777" w:rsidR="000F570D" w:rsidRPr="000F570D" w:rsidRDefault="000F570D" w:rsidP="000F570D">
      <w:pPr>
        <w:jc w:val="both"/>
        <w:rPr>
          <w:rFonts w:ascii="Arial" w:hAnsi="Arial" w:cs="Arial"/>
          <w:lang w:val="en-US"/>
        </w:rPr>
      </w:pPr>
    </w:p>
    <w:p w14:paraId="12AC1912" w14:textId="7FD1A27E" w:rsidR="00016B85" w:rsidRPr="00016B85" w:rsidRDefault="00016B85" w:rsidP="00016B85">
      <w:pPr>
        <w:jc w:val="both"/>
        <w:rPr>
          <w:rFonts w:asciiTheme="majorHAnsi" w:hAnsiTheme="majorHAnsi"/>
        </w:rPr>
      </w:pPr>
      <w:r w:rsidRPr="005A76B9">
        <w:rPr>
          <w:rFonts w:asciiTheme="majorHAnsi" w:hAnsiTheme="majorHAnsi"/>
          <w:b/>
        </w:rPr>
        <w:t>PROPUESTA</w:t>
      </w:r>
      <w:r w:rsidRPr="00016B85">
        <w:rPr>
          <w:rFonts w:asciiTheme="majorHAnsi" w:hAnsiTheme="majorHAnsi"/>
        </w:rPr>
        <w:t xml:space="preserve"> DE REDACCION ALTERNATIVA</w:t>
      </w:r>
      <w:r w:rsidR="004C7E66">
        <w:rPr>
          <w:rFonts w:asciiTheme="majorHAnsi" w:hAnsiTheme="majorHAnsi"/>
        </w:rPr>
        <w:t xml:space="preserve"> (</w:t>
      </w:r>
      <w:r w:rsidR="004C7E66" w:rsidRPr="004C7E66">
        <w:rPr>
          <w:rFonts w:ascii="Arial" w:hAnsi="Arial" w:cs="Arial"/>
          <w:b/>
          <w:i/>
          <w:u w:val="single"/>
        </w:rPr>
        <w:t>cambios en negrita y subrayado</w:t>
      </w:r>
      <w:r w:rsidR="004C7E66">
        <w:rPr>
          <w:rFonts w:asciiTheme="majorHAnsi" w:hAnsiTheme="majorHAnsi"/>
        </w:rPr>
        <w:t>)</w:t>
      </w:r>
      <w:r w:rsidRPr="00016B85">
        <w:rPr>
          <w:rFonts w:asciiTheme="majorHAnsi" w:hAnsiTheme="majorHAnsi"/>
        </w:rPr>
        <w:t>:</w:t>
      </w:r>
      <w:r w:rsidRPr="00016B85">
        <w:rPr>
          <w:rFonts w:asciiTheme="majorHAnsi" w:hAnsiTheme="majorHAnsi"/>
        </w:rPr>
        <w:t xml:space="preserve"> </w:t>
      </w:r>
    </w:p>
    <w:p w14:paraId="4A969CB5" w14:textId="77777777" w:rsidR="00016B85" w:rsidRDefault="00016B85" w:rsidP="00016B85">
      <w:pPr>
        <w:ind w:left="708"/>
        <w:rPr>
          <w:rFonts w:ascii="Arial" w:hAnsi="Arial" w:cs="Arial"/>
          <w:b/>
          <w:u w:val="single"/>
        </w:rPr>
      </w:pPr>
    </w:p>
    <w:p w14:paraId="42F3B95E" w14:textId="309B22E6" w:rsidR="00016B85" w:rsidRDefault="00016B85" w:rsidP="00016B85">
      <w:pPr>
        <w:ind w:left="708"/>
        <w:rPr>
          <w:rFonts w:ascii="Arial" w:hAnsi="Arial" w:cs="Arial"/>
          <w:b/>
          <w:u w:val="single"/>
        </w:rPr>
      </w:pPr>
      <w:r>
        <w:rPr>
          <w:rFonts w:ascii="Arial" w:hAnsi="Arial" w:cs="Arial"/>
          <w:b/>
          <w:u w:val="single"/>
        </w:rPr>
        <w:t>A</w:t>
      </w:r>
      <w:r w:rsidRPr="000947B7">
        <w:rPr>
          <w:rFonts w:ascii="Arial" w:hAnsi="Arial" w:cs="Arial"/>
          <w:b/>
          <w:u w:val="single"/>
        </w:rPr>
        <w:t>rt. 10.2 de la Ley 11/1997:</w:t>
      </w:r>
    </w:p>
    <w:p w14:paraId="1B1B3061" w14:textId="77777777" w:rsidR="00016B85" w:rsidRPr="000947B7" w:rsidRDefault="00016B85" w:rsidP="00016B85">
      <w:pPr>
        <w:ind w:left="708"/>
        <w:rPr>
          <w:rFonts w:ascii="Arial" w:hAnsi="Arial" w:cs="Arial"/>
          <w:i/>
        </w:rPr>
      </w:pPr>
      <w:r w:rsidRPr="00BE155E">
        <w:rPr>
          <w:rFonts w:ascii="Arial" w:hAnsi="Arial" w:cs="Arial"/>
        </w:rPr>
        <w:t>2.</w:t>
      </w:r>
      <w:r w:rsidRPr="00BE155E">
        <w:rPr>
          <w:rFonts w:ascii="Arial" w:hAnsi="Arial" w:cs="Arial"/>
          <w:i/>
        </w:rPr>
        <w:t xml:space="preserve"> Los sistemas integrados de gestión de residuos de envases y envases usados financiarán el coste </w:t>
      </w:r>
      <w:r w:rsidRPr="00B72757">
        <w:rPr>
          <w:rFonts w:ascii="Arial" w:hAnsi="Arial" w:cs="Arial"/>
          <w:b/>
          <w:i/>
          <w:u w:val="single"/>
        </w:rPr>
        <w:t>eficiente</w:t>
      </w:r>
      <w:r w:rsidRPr="00BE155E">
        <w:rPr>
          <w:rFonts w:ascii="Arial" w:hAnsi="Arial" w:cs="Arial"/>
          <w:b/>
          <w:i/>
        </w:rPr>
        <w:t xml:space="preserve"> </w:t>
      </w:r>
      <w:r w:rsidRPr="00BE155E">
        <w:rPr>
          <w:rFonts w:ascii="Arial" w:hAnsi="Arial" w:cs="Arial"/>
          <w:i/>
        </w:rPr>
        <w:t>del sistema de gestión regulado en la presente sección, incluyendo entre los costes originados por este último, el importe de la amortización y de la carga financiera de la inversión que sea necesario realizar en material móvil y en infraestructuras.</w:t>
      </w:r>
    </w:p>
    <w:p w14:paraId="01329F8B" w14:textId="77777777" w:rsidR="00016B85" w:rsidRDefault="00016B85" w:rsidP="00016B85">
      <w:pPr>
        <w:ind w:left="708"/>
        <w:rPr>
          <w:rFonts w:ascii="Arial" w:hAnsi="Arial" w:cs="Arial"/>
          <w:b/>
          <w:u w:val="single"/>
        </w:rPr>
      </w:pPr>
    </w:p>
    <w:p w14:paraId="2846FAD5" w14:textId="75E9ACF9" w:rsidR="00016B85" w:rsidRPr="000947B7" w:rsidRDefault="00016B85" w:rsidP="00016B85">
      <w:pPr>
        <w:ind w:left="708"/>
        <w:rPr>
          <w:rFonts w:ascii="Arial" w:hAnsi="Arial" w:cs="Arial"/>
          <w:b/>
          <w:u w:val="single"/>
        </w:rPr>
      </w:pPr>
      <w:r>
        <w:rPr>
          <w:rFonts w:ascii="Arial" w:hAnsi="Arial" w:cs="Arial"/>
          <w:b/>
          <w:u w:val="single"/>
        </w:rPr>
        <w:t>A</w:t>
      </w:r>
      <w:r w:rsidRPr="000947B7">
        <w:rPr>
          <w:rFonts w:ascii="Arial" w:hAnsi="Arial" w:cs="Arial"/>
          <w:b/>
          <w:u w:val="single"/>
        </w:rPr>
        <w:t>rt. 10.2.a) del Reglamento</w:t>
      </w:r>
      <w:r>
        <w:rPr>
          <w:rFonts w:ascii="Arial" w:hAnsi="Arial" w:cs="Arial"/>
          <w:b/>
          <w:u w:val="single"/>
        </w:rPr>
        <w:t xml:space="preserve"> 782/1998</w:t>
      </w:r>
      <w:r w:rsidRPr="000947B7">
        <w:rPr>
          <w:rFonts w:ascii="Arial" w:hAnsi="Arial" w:cs="Arial"/>
          <w:b/>
          <w:u w:val="single"/>
        </w:rPr>
        <w:t>:</w:t>
      </w:r>
    </w:p>
    <w:p w14:paraId="461193EC" w14:textId="77777777" w:rsidR="00016B85" w:rsidRPr="000947B7" w:rsidRDefault="00016B85" w:rsidP="00016B85">
      <w:pPr>
        <w:spacing w:before="240"/>
        <w:ind w:left="708"/>
        <w:rPr>
          <w:rFonts w:ascii="Arial" w:hAnsi="Arial" w:cs="Arial"/>
          <w:i/>
        </w:rPr>
      </w:pPr>
      <w:r w:rsidRPr="000947B7">
        <w:rPr>
          <w:rFonts w:ascii="Arial" w:hAnsi="Arial" w:cs="Arial"/>
          <w:i/>
        </w:rPr>
        <w:t>2. Para determinar el coste regulado en el artículo 10.2 de la Ley 11/1997, se tendrá en cuenta lo siguiente:</w:t>
      </w:r>
    </w:p>
    <w:p w14:paraId="2B6496B5" w14:textId="77777777" w:rsidR="00016B85" w:rsidRPr="004C7E66" w:rsidRDefault="00016B85" w:rsidP="00016B85">
      <w:pPr>
        <w:ind w:left="708"/>
        <w:rPr>
          <w:rFonts w:ascii="Arial" w:hAnsi="Arial" w:cs="Arial"/>
          <w:b/>
          <w:i/>
          <w:u w:val="single"/>
        </w:rPr>
      </w:pPr>
      <w:r w:rsidRPr="000947B7">
        <w:rPr>
          <w:rFonts w:ascii="Arial" w:hAnsi="Arial" w:cs="Arial"/>
          <w:i/>
        </w:rPr>
        <w:t xml:space="preserve">a) En el cálculo de dicho coste, se incluirá el importe de la amortización y de la carga financiera de las inversiones en material móvil y en infraestructuras de los centros de separación y clasificación, así como los gastos de recogida y transporte y los costes de gestión, </w:t>
      </w:r>
      <w:r w:rsidRPr="004C7E66">
        <w:rPr>
          <w:rFonts w:ascii="Arial" w:hAnsi="Arial" w:cs="Arial"/>
          <w:b/>
          <w:i/>
          <w:u w:val="single"/>
        </w:rPr>
        <w:t>teniendo en cuenta la realización de las citadas operaciones de una manera eficiente.</w:t>
      </w:r>
    </w:p>
    <w:p w14:paraId="39CBB3FF" w14:textId="77777777" w:rsidR="00BB145E" w:rsidRDefault="00BB145E" w:rsidP="000F570D">
      <w:pPr>
        <w:spacing w:before="240" w:after="240" w:line="276" w:lineRule="auto"/>
        <w:ind w:left="567"/>
        <w:rPr>
          <w:rFonts w:ascii="Arial" w:hAnsi="Arial" w:cs="Arial"/>
          <w:i/>
        </w:rPr>
      </w:pPr>
    </w:p>
    <w:p w14:paraId="742CF0E8" w14:textId="6CA2BA23" w:rsidR="000F570D" w:rsidRPr="005A76B9" w:rsidRDefault="00BB145E" w:rsidP="000F570D">
      <w:pPr>
        <w:spacing w:before="240" w:after="240" w:line="276" w:lineRule="auto"/>
        <w:ind w:left="567"/>
        <w:rPr>
          <w:rFonts w:ascii="Arial" w:hAnsi="Arial" w:cs="Arial"/>
          <w:b/>
        </w:rPr>
      </w:pPr>
      <w:r w:rsidRPr="005A76B9">
        <w:rPr>
          <w:rFonts w:ascii="Arial" w:hAnsi="Arial" w:cs="Arial"/>
          <w:b/>
        </w:rPr>
        <w:t>JUSTIFICACIÓN</w:t>
      </w:r>
    </w:p>
    <w:p w14:paraId="71900193" w14:textId="346708F9" w:rsidR="00016B85" w:rsidRDefault="00E30286" w:rsidP="0074659F">
      <w:pPr>
        <w:spacing w:before="240"/>
        <w:ind w:left="567"/>
        <w:rPr>
          <w:rFonts w:ascii="Arial" w:hAnsi="Arial" w:cs="Arial"/>
        </w:rPr>
      </w:pPr>
      <w:r>
        <w:rPr>
          <w:rFonts w:ascii="Arial" w:hAnsi="Arial" w:cs="Arial"/>
        </w:rPr>
        <w:t>A</w:t>
      </w:r>
      <w:r w:rsidR="00016B85" w:rsidRPr="000947B7">
        <w:rPr>
          <w:rFonts w:ascii="Arial" w:hAnsi="Arial" w:cs="Arial"/>
        </w:rPr>
        <w:t xml:space="preserve">unque las publicaciones en lengua española e inglesa se consideren oficiales, el idioma de trabajo durante la tramitación de la nueva Directiva ha sido el inglés, por lo que, en casos en los que, como éste, se aprecian discrepancias entre ambos </w:t>
      </w:r>
      <w:r w:rsidRPr="000947B7">
        <w:rPr>
          <w:rFonts w:ascii="Arial" w:hAnsi="Arial" w:cs="Arial"/>
        </w:rPr>
        <w:t>textos, habrá</w:t>
      </w:r>
      <w:r w:rsidR="00016B85" w:rsidRPr="000947B7">
        <w:rPr>
          <w:rFonts w:ascii="Arial" w:hAnsi="Arial" w:cs="Arial"/>
        </w:rPr>
        <w:t xml:space="preserve"> que interpretar que le versión correcta es la de la publicación en lengua inglesa.</w:t>
      </w:r>
    </w:p>
    <w:p w14:paraId="7BD80C01" w14:textId="3C0961E3" w:rsidR="00016B85" w:rsidRPr="000947B7" w:rsidRDefault="00E30286" w:rsidP="0074659F">
      <w:pPr>
        <w:spacing w:before="240"/>
        <w:ind w:left="567"/>
        <w:rPr>
          <w:rFonts w:ascii="Arial" w:hAnsi="Arial" w:cs="Arial"/>
        </w:rPr>
      </w:pPr>
      <w:r>
        <w:rPr>
          <w:rFonts w:ascii="Arial" w:hAnsi="Arial" w:cs="Arial"/>
        </w:rPr>
        <w:lastRenderedPageBreak/>
        <w:t>S</w:t>
      </w:r>
      <w:r w:rsidR="00016B85" w:rsidRPr="000947B7">
        <w:rPr>
          <w:rFonts w:ascii="Arial" w:hAnsi="Arial" w:cs="Arial"/>
        </w:rPr>
        <w:t>e considera también que el Ministerio para la Transición Ecológica debería realizar las gestiones pertinentes ante la Comisión Europea para aclarar la correcta redacción de este precepto de la nueva Directiva.</w:t>
      </w:r>
    </w:p>
    <w:p w14:paraId="1A05F4E0" w14:textId="77777777" w:rsidR="00016B85" w:rsidRPr="00016B85" w:rsidRDefault="00016B85" w:rsidP="000F570D">
      <w:pPr>
        <w:spacing w:before="240" w:after="240" w:line="276" w:lineRule="auto"/>
        <w:ind w:left="567"/>
        <w:rPr>
          <w:rFonts w:ascii="Arial" w:hAnsi="Arial" w:cs="Arial"/>
          <w:i/>
        </w:rPr>
      </w:pPr>
    </w:p>
    <w:p w14:paraId="694FE383" w14:textId="77777777" w:rsidR="00F222BD" w:rsidRPr="00F222BD" w:rsidRDefault="00F222BD" w:rsidP="00F222BD">
      <w:pPr>
        <w:pStyle w:val="Prrafodelista"/>
        <w:numPr>
          <w:ilvl w:val="0"/>
          <w:numId w:val="34"/>
        </w:numPr>
        <w:jc w:val="both"/>
        <w:rPr>
          <w:rFonts w:asciiTheme="majorHAnsi" w:hAnsiTheme="majorHAnsi"/>
          <w:b/>
        </w:rPr>
      </w:pPr>
      <w:r w:rsidRPr="00F222BD">
        <w:rPr>
          <w:rFonts w:asciiTheme="majorHAnsi" w:hAnsiTheme="majorHAnsi"/>
          <w:b/>
        </w:rPr>
        <w:t>COMENTARIO X</w:t>
      </w:r>
    </w:p>
    <w:p w14:paraId="16639060" w14:textId="1B52CED2" w:rsidR="000F570D" w:rsidRPr="00F222BD" w:rsidRDefault="00F222BD" w:rsidP="005F0380">
      <w:pPr>
        <w:jc w:val="both"/>
        <w:rPr>
          <w:rFonts w:asciiTheme="majorHAnsi" w:hAnsiTheme="majorHAnsi"/>
          <w:b/>
        </w:rPr>
      </w:pPr>
      <w:r w:rsidRPr="00F222BD">
        <w:rPr>
          <w:rFonts w:asciiTheme="majorHAnsi" w:hAnsiTheme="majorHAnsi"/>
          <w:b/>
        </w:rPr>
        <w:t>Nueva definición de envasador, en el caso del comercio electrónico</w:t>
      </w:r>
    </w:p>
    <w:p w14:paraId="52D5012A" w14:textId="509A8EE9" w:rsidR="00F222BD" w:rsidRDefault="00F222BD" w:rsidP="005F0380">
      <w:pPr>
        <w:jc w:val="both"/>
        <w:rPr>
          <w:rFonts w:asciiTheme="majorHAnsi" w:hAnsiTheme="majorHAnsi"/>
        </w:rPr>
      </w:pPr>
    </w:p>
    <w:p w14:paraId="3969E0C3" w14:textId="77777777" w:rsidR="00F222BD" w:rsidRDefault="00F222BD" w:rsidP="00F222BD">
      <w:pPr>
        <w:jc w:val="both"/>
        <w:rPr>
          <w:rFonts w:asciiTheme="majorHAnsi" w:hAnsiTheme="majorHAnsi"/>
        </w:rPr>
      </w:pPr>
      <w:r>
        <w:rPr>
          <w:rFonts w:asciiTheme="majorHAnsi" w:hAnsiTheme="majorHAnsi"/>
        </w:rPr>
        <w:t>TEXTO PROYECTO DE RD:</w:t>
      </w:r>
    </w:p>
    <w:p w14:paraId="4E776719" w14:textId="77777777" w:rsidR="00F222BD" w:rsidRPr="008D4939" w:rsidRDefault="00F222BD" w:rsidP="00F222BD">
      <w:pPr>
        <w:spacing w:line="276" w:lineRule="auto"/>
        <w:ind w:left="720"/>
        <w:contextualSpacing/>
        <w:rPr>
          <w:rFonts w:ascii="Arial" w:eastAsia="Times New Roman" w:hAnsi="Arial" w:cs="Arial"/>
        </w:rPr>
      </w:pPr>
    </w:p>
    <w:p w14:paraId="55BB124E" w14:textId="77777777" w:rsidR="00F222BD" w:rsidRPr="008D4939" w:rsidRDefault="00F222BD" w:rsidP="00F222BD">
      <w:pPr>
        <w:autoSpaceDE w:val="0"/>
        <w:autoSpaceDN w:val="0"/>
        <w:spacing w:line="276" w:lineRule="auto"/>
        <w:ind w:left="708"/>
        <w:rPr>
          <w:rFonts w:ascii="Arial" w:eastAsia="Times New Roman" w:hAnsi="Arial" w:cs="Arial"/>
          <w:i/>
        </w:rPr>
      </w:pPr>
      <w:r w:rsidRPr="008D4939">
        <w:rPr>
          <w:rFonts w:ascii="Arial" w:eastAsia="Times New Roman" w:hAnsi="Arial" w:cs="Arial"/>
        </w:rPr>
        <w:t>“</w:t>
      </w:r>
      <w:r w:rsidRPr="00F222BD">
        <w:rPr>
          <w:rFonts w:ascii="Arial" w:eastAsia="Times New Roman" w:hAnsi="Arial" w:cs="Arial"/>
          <w:i/>
        </w:rPr>
        <w:t xml:space="preserve">En el caso de </w:t>
      </w:r>
      <w:proofErr w:type="gramStart"/>
      <w:r w:rsidRPr="00F222BD">
        <w:rPr>
          <w:rFonts w:ascii="Arial" w:eastAsia="Times New Roman" w:hAnsi="Arial" w:cs="Arial"/>
          <w:i/>
        </w:rPr>
        <w:t xml:space="preserve">las </w:t>
      </w:r>
      <w:r w:rsidRPr="00F222BD">
        <w:rPr>
          <w:rFonts w:ascii="Arial" w:eastAsia="Times New Roman" w:hAnsi="Arial" w:cs="Arial"/>
          <w:b/>
          <w:i/>
        </w:rPr>
        <w:t>envases</w:t>
      </w:r>
      <w:proofErr w:type="gramEnd"/>
      <w:r w:rsidRPr="00F222BD">
        <w:rPr>
          <w:rFonts w:ascii="Arial" w:eastAsia="Times New Roman" w:hAnsi="Arial" w:cs="Arial"/>
          <w:b/>
          <w:i/>
        </w:rPr>
        <w:t xml:space="preserve"> de plástico o cartón</w:t>
      </w:r>
      <w:r w:rsidRPr="00F222BD">
        <w:rPr>
          <w:rFonts w:ascii="Arial" w:eastAsia="Times New Roman" w:hAnsi="Arial" w:cs="Arial"/>
          <w:i/>
        </w:rPr>
        <w:t xml:space="preserve"> empleados como </w:t>
      </w:r>
      <w:r w:rsidRPr="00F222BD">
        <w:rPr>
          <w:rFonts w:ascii="Arial" w:eastAsia="Times New Roman" w:hAnsi="Arial" w:cs="Arial"/>
          <w:b/>
          <w:i/>
        </w:rPr>
        <w:t>envases primarios o secundarios</w:t>
      </w:r>
      <w:r w:rsidRPr="00F222BD">
        <w:rPr>
          <w:rFonts w:ascii="Arial" w:eastAsia="Times New Roman" w:hAnsi="Arial" w:cs="Arial"/>
          <w:i/>
        </w:rPr>
        <w:t xml:space="preserve"> en el comercio electrónico, tendrá la consideración de </w:t>
      </w:r>
      <w:r w:rsidRPr="00F222BD">
        <w:rPr>
          <w:rFonts w:ascii="Arial" w:eastAsia="Times New Roman" w:hAnsi="Arial" w:cs="Arial"/>
          <w:b/>
          <w:i/>
        </w:rPr>
        <w:t>envasador</w:t>
      </w:r>
      <w:r w:rsidRPr="00F222BD">
        <w:rPr>
          <w:rFonts w:ascii="Arial" w:eastAsia="Times New Roman" w:hAnsi="Arial" w:cs="Arial"/>
          <w:i/>
        </w:rPr>
        <w:t xml:space="preserve"> el </w:t>
      </w:r>
      <w:r w:rsidRPr="00F222BD">
        <w:rPr>
          <w:rFonts w:ascii="Arial" w:eastAsia="Times New Roman" w:hAnsi="Arial" w:cs="Arial"/>
          <w:b/>
          <w:i/>
        </w:rPr>
        <w:t>titular</w:t>
      </w:r>
      <w:r w:rsidRPr="00F222BD">
        <w:rPr>
          <w:rFonts w:ascii="Arial" w:eastAsia="Times New Roman" w:hAnsi="Arial" w:cs="Arial"/>
          <w:i/>
        </w:rPr>
        <w:t xml:space="preserve"> de dicho comercio </w:t>
      </w:r>
      <w:r w:rsidRPr="00F222BD">
        <w:rPr>
          <w:rFonts w:ascii="Arial" w:eastAsia="Times New Roman" w:hAnsi="Arial" w:cs="Arial"/>
          <w:b/>
          <w:i/>
        </w:rPr>
        <w:t>así como</w:t>
      </w:r>
      <w:r w:rsidRPr="00F222BD">
        <w:rPr>
          <w:rFonts w:ascii="Arial" w:eastAsia="Times New Roman" w:hAnsi="Arial" w:cs="Arial"/>
          <w:i/>
        </w:rPr>
        <w:t xml:space="preserve"> las </w:t>
      </w:r>
      <w:r w:rsidRPr="00F222BD">
        <w:rPr>
          <w:rFonts w:ascii="Arial" w:eastAsia="Times New Roman" w:hAnsi="Arial" w:cs="Arial"/>
          <w:b/>
          <w:i/>
        </w:rPr>
        <w:t>plataformas</w:t>
      </w:r>
      <w:r w:rsidRPr="00F222BD">
        <w:rPr>
          <w:rFonts w:ascii="Arial" w:eastAsia="Times New Roman" w:hAnsi="Arial" w:cs="Arial"/>
          <w:i/>
        </w:rPr>
        <w:t xml:space="preserve"> de comercio electrónico que pongan en el mercado dichos envases. Adicionalmente, si a través de las plataformas de comercio electrónico se ponen en el mercado nacional productos procedentes de fuera de España dicha plataforma actuará como envasador respecto de esos envases. </w:t>
      </w:r>
      <w:r w:rsidRPr="00F222BD">
        <w:rPr>
          <w:rFonts w:ascii="Arial" w:eastAsia="Times New Roman" w:hAnsi="Arial" w:cs="Arial"/>
          <w:b/>
          <w:i/>
        </w:rPr>
        <w:t>Voluntariamente</w:t>
      </w:r>
      <w:r w:rsidRPr="00F222BD">
        <w:rPr>
          <w:rFonts w:ascii="Arial" w:eastAsia="Times New Roman" w:hAnsi="Arial" w:cs="Arial"/>
          <w:i/>
        </w:rPr>
        <w:t xml:space="preserve">, podrá acordarse que sean las </w:t>
      </w:r>
      <w:r w:rsidRPr="00F222BD">
        <w:rPr>
          <w:rFonts w:ascii="Arial" w:eastAsia="Times New Roman" w:hAnsi="Arial" w:cs="Arial"/>
          <w:b/>
          <w:i/>
        </w:rPr>
        <w:t>empresas de mensajería</w:t>
      </w:r>
      <w:r w:rsidRPr="00F222BD">
        <w:rPr>
          <w:rFonts w:ascii="Arial" w:eastAsia="Times New Roman" w:hAnsi="Arial" w:cs="Arial"/>
          <w:i/>
        </w:rPr>
        <w:t xml:space="preserve"> utilizadas por el comercio electrónico las que aporten la financiación a los sistemas integrados de gestión que corresponda por los envases primarios o secundarios utilizados en el envío del producto adquirido electrónicamente”.</w:t>
      </w:r>
    </w:p>
    <w:p w14:paraId="677247F2" w14:textId="77777777" w:rsidR="00F222BD" w:rsidRDefault="00F222BD" w:rsidP="00F222BD">
      <w:pPr>
        <w:jc w:val="both"/>
        <w:rPr>
          <w:rFonts w:asciiTheme="majorHAnsi" w:hAnsiTheme="majorHAnsi"/>
        </w:rPr>
      </w:pPr>
    </w:p>
    <w:p w14:paraId="546954A3" w14:textId="798090F1" w:rsidR="00F222BD" w:rsidRDefault="00F222BD" w:rsidP="005F0380">
      <w:pPr>
        <w:jc w:val="both"/>
        <w:rPr>
          <w:rFonts w:asciiTheme="majorHAnsi" w:hAnsiTheme="majorHAnsi"/>
        </w:rPr>
      </w:pPr>
      <w:r w:rsidRPr="005A76B9">
        <w:rPr>
          <w:rFonts w:asciiTheme="majorHAnsi" w:hAnsiTheme="majorHAnsi"/>
          <w:b/>
        </w:rPr>
        <w:t>PROPUESTA</w:t>
      </w:r>
      <w:r>
        <w:rPr>
          <w:rFonts w:asciiTheme="majorHAnsi" w:hAnsiTheme="majorHAnsi"/>
        </w:rPr>
        <w:t>:</w:t>
      </w:r>
    </w:p>
    <w:p w14:paraId="10072415" w14:textId="65D721D6" w:rsidR="00F222BD" w:rsidRDefault="00F222BD" w:rsidP="005F0380">
      <w:pPr>
        <w:jc w:val="both"/>
        <w:rPr>
          <w:rFonts w:asciiTheme="majorHAnsi" w:hAnsiTheme="majorHAnsi"/>
        </w:rPr>
      </w:pPr>
    </w:p>
    <w:p w14:paraId="46B8DC34" w14:textId="77777777" w:rsidR="005A76B9" w:rsidRDefault="00F222BD" w:rsidP="003219D8">
      <w:pPr>
        <w:autoSpaceDE w:val="0"/>
        <w:autoSpaceDN w:val="0"/>
        <w:spacing w:line="276" w:lineRule="auto"/>
        <w:ind w:left="708"/>
        <w:rPr>
          <w:rFonts w:ascii="Arial" w:eastAsia="Times New Roman" w:hAnsi="Arial" w:cs="Arial"/>
          <w:b/>
        </w:rPr>
      </w:pPr>
      <w:r w:rsidRPr="008D4939">
        <w:rPr>
          <w:rFonts w:ascii="Arial" w:eastAsia="Times New Roman" w:hAnsi="Arial" w:cs="Arial"/>
          <w:b/>
        </w:rPr>
        <w:t>Propuesta definición</w:t>
      </w:r>
      <w:r>
        <w:rPr>
          <w:rFonts w:ascii="Arial" w:eastAsia="Times New Roman" w:hAnsi="Arial" w:cs="Arial"/>
          <w:b/>
        </w:rPr>
        <w:t xml:space="preserve"> NUEVA</w:t>
      </w:r>
      <w:r w:rsidRPr="008D4939">
        <w:rPr>
          <w:rFonts w:ascii="Arial" w:eastAsia="Times New Roman" w:hAnsi="Arial" w:cs="Arial"/>
          <w:b/>
        </w:rPr>
        <w:t xml:space="preserve">: </w:t>
      </w:r>
    </w:p>
    <w:p w14:paraId="0A100FDB" w14:textId="77777777" w:rsidR="005A76B9" w:rsidRDefault="005A76B9" w:rsidP="003219D8">
      <w:pPr>
        <w:autoSpaceDE w:val="0"/>
        <w:autoSpaceDN w:val="0"/>
        <w:spacing w:line="276" w:lineRule="auto"/>
        <w:ind w:left="708"/>
        <w:rPr>
          <w:rFonts w:ascii="Arial" w:eastAsia="Times New Roman" w:hAnsi="Arial" w:cs="Arial"/>
          <w:b/>
        </w:rPr>
      </w:pPr>
      <w:r>
        <w:rPr>
          <w:rFonts w:ascii="Arial" w:eastAsia="Times New Roman" w:hAnsi="Arial" w:cs="Arial"/>
          <w:b/>
        </w:rPr>
        <w:t>Artículo 2, definiciones:</w:t>
      </w:r>
    </w:p>
    <w:p w14:paraId="2F5DF27D" w14:textId="7ED34521" w:rsidR="00F222BD" w:rsidRPr="008D4939" w:rsidRDefault="00F222BD" w:rsidP="003219D8">
      <w:pPr>
        <w:autoSpaceDE w:val="0"/>
        <w:autoSpaceDN w:val="0"/>
        <w:spacing w:line="276" w:lineRule="auto"/>
        <w:ind w:left="708"/>
        <w:rPr>
          <w:rFonts w:ascii="Arial" w:eastAsia="Times New Roman" w:hAnsi="Arial" w:cs="Arial"/>
          <w:i/>
        </w:rPr>
      </w:pPr>
      <w:r w:rsidRPr="008D4939">
        <w:rPr>
          <w:rFonts w:ascii="Arial" w:eastAsia="Times New Roman" w:hAnsi="Arial" w:cs="Arial"/>
          <w:b/>
        </w:rPr>
        <w:t>“</w:t>
      </w:r>
      <w:r w:rsidRPr="008D4939">
        <w:rPr>
          <w:rFonts w:ascii="Arial" w:eastAsia="Times New Roman" w:hAnsi="Arial" w:cs="Arial"/>
          <w:i/>
        </w:rPr>
        <w:t xml:space="preserve">envase específico de comercio electrónico”: envase añadido para el envío y/o entrega, en el hogar o en puntos acordados/establecidos para tal fin, de productos resultantes de una operación de </w:t>
      </w:r>
      <w:proofErr w:type="gramStart"/>
      <w:r w:rsidRPr="008D4939">
        <w:rPr>
          <w:rFonts w:ascii="Arial" w:eastAsia="Times New Roman" w:hAnsi="Arial" w:cs="Arial"/>
          <w:i/>
        </w:rPr>
        <w:t>compra-venta</w:t>
      </w:r>
      <w:proofErr w:type="gramEnd"/>
      <w:r w:rsidRPr="008D4939">
        <w:rPr>
          <w:rFonts w:ascii="Arial" w:eastAsia="Times New Roman" w:hAnsi="Arial" w:cs="Arial"/>
          <w:i/>
        </w:rPr>
        <w:t xml:space="preserve"> con particulares, realizada a través de medios electrónicos</w:t>
      </w:r>
      <w:r w:rsidRPr="008D4939">
        <w:rPr>
          <w:rStyle w:val="Refdenotaalpie"/>
          <w:rFonts w:ascii="Arial" w:eastAsia="Times New Roman" w:hAnsi="Arial" w:cs="Arial"/>
          <w:i/>
        </w:rPr>
        <w:footnoteReference w:id="1"/>
      </w:r>
      <w:r w:rsidRPr="008D4939">
        <w:rPr>
          <w:rFonts w:ascii="Arial" w:eastAsia="Times New Roman" w:hAnsi="Arial" w:cs="Arial"/>
          <w:i/>
        </w:rPr>
        <w:t>, tales como redes sociales y otra páginas web. Se incluirán también los envases previstos para potenciales devoluciones de los productos adquiridos.</w:t>
      </w:r>
    </w:p>
    <w:p w14:paraId="093A0356" w14:textId="79101A54" w:rsidR="00F222BD" w:rsidRDefault="00F222BD" w:rsidP="003219D8">
      <w:pPr>
        <w:ind w:left="708"/>
        <w:jc w:val="both"/>
        <w:rPr>
          <w:rFonts w:asciiTheme="majorHAnsi" w:hAnsiTheme="majorHAnsi"/>
          <w:b/>
        </w:rPr>
      </w:pPr>
    </w:p>
    <w:p w14:paraId="31CD22DF" w14:textId="77777777" w:rsidR="005A76B9" w:rsidRDefault="00F222BD" w:rsidP="003219D8">
      <w:pPr>
        <w:autoSpaceDE w:val="0"/>
        <w:autoSpaceDN w:val="0"/>
        <w:spacing w:line="276" w:lineRule="auto"/>
        <w:ind w:left="708"/>
        <w:rPr>
          <w:rFonts w:ascii="Arial" w:eastAsia="Times New Roman" w:hAnsi="Arial" w:cs="Arial"/>
          <w:b/>
        </w:rPr>
      </w:pPr>
      <w:r w:rsidRPr="008D4939">
        <w:rPr>
          <w:rFonts w:ascii="Arial" w:eastAsia="Times New Roman" w:hAnsi="Arial" w:cs="Arial"/>
          <w:b/>
        </w:rPr>
        <w:t>Propuesta redac</w:t>
      </w:r>
      <w:r>
        <w:rPr>
          <w:rFonts w:ascii="Arial" w:eastAsia="Times New Roman" w:hAnsi="Arial" w:cs="Arial"/>
          <w:b/>
        </w:rPr>
        <w:t>ción alternativa</w:t>
      </w:r>
      <w:r w:rsidRPr="008D4939">
        <w:rPr>
          <w:rFonts w:ascii="Arial" w:eastAsia="Times New Roman" w:hAnsi="Arial" w:cs="Arial"/>
          <w:b/>
        </w:rPr>
        <w:t xml:space="preserve">: </w:t>
      </w:r>
    </w:p>
    <w:p w14:paraId="113DAC4D" w14:textId="76A6F8F9" w:rsidR="005A76B9" w:rsidRPr="005A76B9" w:rsidRDefault="005A76B9" w:rsidP="003219D8">
      <w:pPr>
        <w:autoSpaceDE w:val="0"/>
        <w:autoSpaceDN w:val="0"/>
        <w:spacing w:line="276" w:lineRule="auto"/>
        <w:ind w:left="708"/>
        <w:rPr>
          <w:rFonts w:ascii="Arial" w:eastAsia="Times New Roman" w:hAnsi="Arial" w:cs="Arial"/>
          <w:b/>
        </w:rPr>
      </w:pPr>
      <w:r w:rsidRPr="005A76B9">
        <w:rPr>
          <w:rFonts w:ascii="Arial" w:eastAsia="Times New Roman" w:hAnsi="Arial" w:cs="Arial"/>
          <w:b/>
        </w:rPr>
        <w:t>Artículo 2, apartado 12:</w:t>
      </w:r>
    </w:p>
    <w:p w14:paraId="1F9BF9CE" w14:textId="05EBFDF3" w:rsidR="005A76B9" w:rsidRPr="005A76B9" w:rsidRDefault="00F222BD" w:rsidP="003219D8">
      <w:pPr>
        <w:autoSpaceDE w:val="0"/>
        <w:autoSpaceDN w:val="0"/>
        <w:spacing w:line="276" w:lineRule="auto"/>
        <w:ind w:left="708"/>
        <w:rPr>
          <w:rFonts w:ascii="Arial" w:eastAsia="Times New Roman" w:hAnsi="Arial" w:cs="Arial"/>
          <w:b/>
          <w:i/>
        </w:rPr>
      </w:pPr>
      <w:r w:rsidRPr="008D4939">
        <w:rPr>
          <w:rFonts w:ascii="Arial" w:eastAsia="Times New Roman" w:hAnsi="Arial" w:cs="Arial"/>
        </w:rPr>
        <w:lastRenderedPageBreak/>
        <w:t>“</w:t>
      </w:r>
      <w:r w:rsidRPr="008D4939">
        <w:rPr>
          <w:rFonts w:ascii="Arial" w:eastAsia="Times New Roman" w:hAnsi="Arial" w:cs="Arial"/>
          <w:i/>
        </w:rPr>
        <w:t xml:space="preserve">En el caso de los </w:t>
      </w:r>
      <w:r w:rsidRPr="008D4939">
        <w:rPr>
          <w:rFonts w:ascii="Arial" w:eastAsia="Times New Roman" w:hAnsi="Arial" w:cs="Arial"/>
          <w:b/>
          <w:i/>
          <w:u w:val="single"/>
        </w:rPr>
        <w:t>envases específicos de comercio electrónico</w:t>
      </w:r>
      <w:r w:rsidRPr="008D4939">
        <w:rPr>
          <w:rFonts w:ascii="Arial" w:eastAsia="Times New Roman" w:hAnsi="Arial" w:cs="Arial"/>
          <w:i/>
        </w:rPr>
        <w:t xml:space="preserve">, tendrá la consideración de </w:t>
      </w:r>
      <w:r w:rsidRPr="008D4939">
        <w:rPr>
          <w:rFonts w:ascii="Arial" w:eastAsia="Times New Roman" w:hAnsi="Arial" w:cs="Arial"/>
          <w:b/>
          <w:i/>
          <w:u w:val="single"/>
        </w:rPr>
        <w:t>envasador</w:t>
      </w:r>
      <w:r w:rsidRPr="008D4939">
        <w:rPr>
          <w:rFonts w:ascii="Arial" w:eastAsia="Times New Roman" w:hAnsi="Arial" w:cs="Arial"/>
          <w:i/>
        </w:rPr>
        <w:t xml:space="preserve"> el agente que lleve a cabo físicamente la adición de dicho envase, bien el comercio que participó en la operación de venta del producto al particular o bien la empresa que lo lleva a cabo por encargo de dicho comercio. Voluntariamente podrá acordarse que, en este segundo supuesto, sea el comercio que participó en la operación de venta del producto al particular el que tenga la consideración de </w:t>
      </w:r>
      <w:proofErr w:type="gramStart"/>
      <w:r w:rsidRPr="008D4939">
        <w:rPr>
          <w:rFonts w:ascii="Arial" w:eastAsia="Times New Roman" w:hAnsi="Arial" w:cs="Arial"/>
          <w:i/>
        </w:rPr>
        <w:t>envasador</w:t>
      </w:r>
      <w:proofErr w:type="gramEnd"/>
      <w:r w:rsidRPr="008D4939">
        <w:rPr>
          <w:rFonts w:ascii="Arial" w:eastAsia="Times New Roman" w:hAnsi="Arial" w:cs="Arial"/>
          <w:i/>
        </w:rPr>
        <w:t xml:space="preserve"> aunque no lleve a cabo directamente la adición del envase específico de comercio electrónico</w:t>
      </w:r>
      <w:r w:rsidR="005A76B9">
        <w:rPr>
          <w:rFonts w:ascii="Arial" w:eastAsia="Times New Roman" w:hAnsi="Arial" w:cs="Arial"/>
          <w:i/>
        </w:rPr>
        <w:t>.</w:t>
      </w:r>
      <w:r w:rsidR="00105A58">
        <w:rPr>
          <w:rFonts w:ascii="Arial" w:eastAsia="Times New Roman" w:hAnsi="Arial" w:cs="Arial"/>
          <w:i/>
        </w:rPr>
        <w:t xml:space="preserve"> </w:t>
      </w:r>
      <w:r w:rsidR="005A76B9" w:rsidRPr="008D4939">
        <w:rPr>
          <w:rFonts w:ascii="Arial" w:eastAsia="Times New Roman" w:hAnsi="Arial" w:cs="Arial"/>
          <w:i/>
        </w:rPr>
        <w:t xml:space="preserve">No obstante, en el caso de puesta en el mercado nacional de productos procedentes de </w:t>
      </w:r>
      <w:r w:rsidR="005A76B9" w:rsidRPr="00105A58">
        <w:rPr>
          <w:rFonts w:ascii="Arial" w:eastAsia="Times New Roman" w:hAnsi="Arial" w:cs="Arial"/>
          <w:b/>
          <w:i/>
        </w:rPr>
        <w:t>fuera de España</w:t>
      </w:r>
      <w:r w:rsidR="005A76B9" w:rsidRPr="008D4939">
        <w:rPr>
          <w:rFonts w:ascii="Arial" w:eastAsia="Times New Roman" w:hAnsi="Arial" w:cs="Arial"/>
          <w:i/>
        </w:rPr>
        <w:t xml:space="preserve">, si el envase específico de comercio electrónico se añade también físicamente fuera del territorio nacional, </w:t>
      </w:r>
      <w:r w:rsidR="005A76B9" w:rsidRPr="005A76B9">
        <w:rPr>
          <w:rFonts w:ascii="Arial" w:eastAsia="Times New Roman" w:hAnsi="Arial" w:cs="Arial"/>
          <w:b/>
          <w:i/>
        </w:rPr>
        <w:t>tendrá la consideración de envasador para este envase el mismo agente responsable de la puesta en el mercado del producto envasado”.</w:t>
      </w:r>
    </w:p>
    <w:p w14:paraId="7D33FDA5" w14:textId="77777777" w:rsidR="00105A58" w:rsidRDefault="00105A58" w:rsidP="00105A58">
      <w:pPr>
        <w:autoSpaceDE w:val="0"/>
        <w:autoSpaceDN w:val="0"/>
        <w:spacing w:line="276" w:lineRule="auto"/>
        <w:ind w:left="708"/>
        <w:rPr>
          <w:rFonts w:ascii="Arial" w:eastAsia="Times New Roman" w:hAnsi="Arial" w:cs="Arial"/>
          <w:i/>
        </w:rPr>
      </w:pPr>
    </w:p>
    <w:p w14:paraId="5C392F9F" w14:textId="6B9701B8" w:rsidR="00105A58" w:rsidRPr="008D4939" w:rsidRDefault="00105A58" w:rsidP="00105A58">
      <w:pPr>
        <w:autoSpaceDE w:val="0"/>
        <w:autoSpaceDN w:val="0"/>
        <w:spacing w:line="276" w:lineRule="auto"/>
        <w:ind w:left="708"/>
        <w:rPr>
          <w:rFonts w:ascii="Arial" w:eastAsia="Times New Roman" w:hAnsi="Arial" w:cs="Arial"/>
          <w:i/>
        </w:rPr>
      </w:pPr>
      <w:r w:rsidRPr="008D4939">
        <w:rPr>
          <w:rFonts w:ascii="Arial" w:eastAsia="Times New Roman" w:hAnsi="Arial" w:cs="Arial"/>
          <w:i/>
        </w:rPr>
        <w:t>A los efectos del párrafo anterior</w:t>
      </w:r>
      <w:r w:rsidRPr="008D4939">
        <w:rPr>
          <w:rFonts w:ascii="Arial" w:eastAsia="Times New Roman" w:hAnsi="Arial" w:cs="Arial"/>
        </w:rPr>
        <w:t xml:space="preserve">, </w:t>
      </w:r>
      <w:r w:rsidRPr="008D4939">
        <w:rPr>
          <w:rFonts w:ascii="Arial" w:eastAsia="Times New Roman" w:hAnsi="Arial" w:cs="Arial"/>
          <w:i/>
        </w:rPr>
        <w:t>“comercio” incluye tanto el comercio físico que dispone de su propia web de venta, como el caso de venta a través de una web, sin establecimiento físico</w:t>
      </w:r>
      <w:r w:rsidRPr="008D4939">
        <w:rPr>
          <w:rFonts w:ascii="Arial" w:eastAsia="Times New Roman" w:hAnsi="Arial" w:cs="Arial"/>
        </w:rPr>
        <w:t>.</w:t>
      </w:r>
      <w:r w:rsidR="00236CB3">
        <w:rPr>
          <w:rFonts w:ascii="Arial" w:eastAsia="Times New Roman" w:hAnsi="Arial" w:cs="Arial"/>
        </w:rPr>
        <w:t xml:space="preserve"> </w:t>
      </w:r>
      <w:r w:rsidR="00236CB3" w:rsidRPr="00AF03C3">
        <w:rPr>
          <w:rFonts w:ascii="Arial" w:eastAsia="Times New Roman" w:hAnsi="Arial" w:cs="Arial"/>
          <w:i/>
        </w:rPr>
        <w:t>No tendrán la consideración de “comercio” las plataformas de comercio electrónico cuya participación se limita a poner en contacto al particular con el agente responsable de la venta.</w:t>
      </w:r>
      <w:r w:rsidR="00236CB3">
        <w:rPr>
          <w:rFonts w:ascii="Arial" w:eastAsia="Times New Roman" w:hAnsi="Arial" w:cs="Arial"/>
        </w:rPr>
        <w:t xml:space="preserve"> </w:t>
      </w:r>
    </w:p>
    <w:p w14:paraId="79CF00EC" w14:textId="6AA84EBD" w:rsidR="00F222BD" w:rsidRDefault="00F222BD" w:rsidP="005F0380">
      <w:pPr>
        <w:jc w:val="both"/>
        <w:rPr>
          <w:rFonts w:asciiTheme="majorHAnsi" w:hAnsiTheme="majorHAnsi"/>
          <w:b/>
        </w:rPr>
      </w:pPr>
    </w:p>
    <w:p w14:paraId="55E1A976" w14:textId="4D2EF6EC" w:rsidR="005A76B9" w:rsidRDefault="005A76B9" w:rsidP="005F0380">
      <w:pPr>
        <w:jc w:val="both"/>
        <w:rPr>
          <w:rFonts w:asciiTheme="majorHAnsi" w:hAnsiTheme="majorHAnsi"/>
          <w:b/>
        </w:rPr>
      </w:pPr>
    </w:p>
    <w:p w14:paraId="1DC39A85" w14:textId="3E624487" w:rsidR="005A76B9" w:rsidRDefault="005A76B9" w:rsidP="005F0380">
      <w:pPr>
        <w:jc w:val="both"/>
        <w:rPr>
          <w:rFonts w:asciiTheme="majorHAnsi" w:hAnsiTheme="majorHAnsi"/>
          <w:b/>
        </w:rPr>
      </w:pPr>
      <w:r>
        <w:rPr>
          <w:rFonts w:asciiTheme="majorHAnsi" w:hAnsiTheme="majorHAnsi"/>
          <w:b/>
        </w:rPr>
        <w:t>JUSTIFICACIÓN</w:t>
      </w:r>
    </w:p>
    <w:p w14:paraId="5AEBCC07" w14:textId="22FF1258" w:rsidR="005A76B9" w:rsidRDefault="005A76B9" w:rsidP="005F0380">
      <w:pPr>
        <w:jc w:val="both"/>
        <w:rPr>
          <w:rFonts w:asciiTheme="majorHAnsi" w:hAnsiTheme="majorHAnsi"/>
          <w:b/>
        </w:rPr>
      </w:pPr>
    </w:p>
    <w:p w14:paraId="44981150" w14:textId="77777777" w:rsidR="0041591E" w:rsidRDefault="005A76B9" w:rsidP="005A76B9">
      <w:pPr>
        <w:numPr>
          <w:ilvl w:val="0"/>
          <w:numId w:val="27"/>
        </w:numPr>
        <w:autoSpaceDE w:val="0"/>
        <w:autoSpaceDN w:val="0"/>
        <w:spacing w:line="276" w:lineRule="auto"/>
        <w:contextualSpacing/>
        <w:jc w:val="both"/>
        <w:rPr>
          <w:rFonts w:ascii="Arial" w:eastAsia="Times New Roman" w:hAnsi="Arial" w:cs="Arial"/>
        </w:rPr>
      </w:pPr>
      <w:r w:rsidRPr="008D4939">
        <w:rPr>
          <w:rFonts w:ascii="Arial" w:eastAsia="Times New Roman" w:hAnsi="Arial" w:cs="Arial"/>
        </w:rPr>
        <w:t xml:space="preserve">Lo que se debe regular de forma específica o particular en este modelo, es la </w:t>
      </w:r>
      <w:r w:rsidRPr="008D4939">
        <w:rPr>
          <w:rFonts w:ascii="Arial" w:eastAsia="Times New Roman" w:hAnsi="Arial" w:cs="Arial"/>
          <w:b/>
        </w:rPr>
        <w:t xml:space="preserve">responsabilidad sobre el envase adicional que se añade al producto envasado objeto de la </w:t>
      </w:r>
      <w:proofErr w:type="gramStart"/>
      <w:r w:rsidRPr="008D4939">
        <w:rPr>
          <w:rFonts w:ascii="Arial" w:eastAsia="Times New Roman" w:hAnsi="Arial" w:cs="Arial"/>
          <w:b/>
        </w:rPr>
        <w:t>compra-venta</w:t>
      </w:r>
      <w:proofErr w:type="gramEnd"/>
      <w:r w:rsidRPr="008D4939">
        <w:rPr>
          <w:rFonts w:ascii="Arial" w:eastAsia="Times New Roman" w:hAnsi="Arial" w:cs="Arial"/>
        </w:rPr>
        <w:t xml:space="preserve">, para facilitar el envío del mismo a los particulares. La regulación sobre el envase primario o en su caso secundario, del producto objeto de la </w:t>
      </w:r>
      <w:proofErr w:type="gramStart"/>
      <w:r w:rsidRPr="008D4939">
        <w:rPr>
          <w:rFonts w:ascii="Arial" w:eastAsia="Times New Roman" w:hAnsi="Arial" w:cs="Arial"/>
        </w:rPr>
        <w:t>compra-venta</w:t>
      </w:r>
      <w:proofErr w:type="gramEnd"/>
      <w:r w:rsidRPr="008D4939">
        <w:rPr>
          <w:rFonts w:ascii="Arial" w:eastAsia="Times New Roman" w:hAnsi="Arial" w:cs="Arial"/>
        </w:rPr>
        <w:t>, es la aplicable con carácter general y no cambia la consideración de envasador el hecho de que el producto sea enviado al particular. Por ello parece conveniente</w:t>
      </w:r>
      <w:r w:rsidR="0041591E">
        <w:rPr>
          <w:rFonts w:ascii="Arial" w:eastAsia="Times New Roman" w:hAnsi="Arial" w:cs="Arial"/>
        </w:rPr>
        <w:t>:</w:t>
      </w:r>
    </w:p>
    <w:p w14:paraId="457A8178" w14:textId="77777777" w:rsidR="0041591E" w:rsidRDefault="005A76B9" w:rsidP="0041591E">
      <w:pPr>
        <w:numPr>
          <w:ilvl w:val="1"/>
          <w:numId w:val="27"/>
        </w:numPr>
        <w:autoSpaceDE w:val="0"/>
        <w:autoSpaceDN w:val="0"/>
        <w:spacing w:line="276" w:lineRule="auto"/>
        <w:contextualSpacing/>
        <w:jc w:val="both"/>
        <w:rPr>
          <w:rFonts w:ascii="Arial" w:eastAsia="Times New Roman" w:hAnsi="Arial" w:cs="Arial"/>
        </w:rPr>
      </w:pPr>
      <w:r w:rsidRPr="008D4939">
        <w:rPr>
          <w:rFonts w:ascii="Arial" w:eastAsia="Times New Roman" w:hAnsi="Arial" w:cs="Arial"/>
        </w:rPr>
        <w:t xml:space="preserve">establecer una definición de este envase específico para este modelo de comercio, </w:t>
      </w:r>
    </w:p>
    <w:p w14:paraId="485DA6D9" w14:textId="77777777" w:rsidR="0041591E" w:rsidRDefault="005A76B9" w:rsidP="0041591E">
      <w:pPr>
        <w:numPr>
          <w:ilvl w:val="1"/>
          <w:numId w:val="27"/>
        </w:numPr>
        <w:autoSpaceDE w:val="0"/>
        <w:autoSpaceDN w:val="0"/>
        <w:spacing w:line="276" w:lineRule="auto"/>
        <w:contextualSpacing/>
        <w:jc w:val="both"/>
        <w:rPr>
          <w:rFonts w:ascii="Arial" w:eastAsia="Times New Roman" w:hAnsi="Arial" w:cs="Arial"/>
        </w:rPr>
      </w:pPr>
      <w:r w:rsidRPr="008D4939">
        <w:rPr>
          <w:rFonts w:ascii="Arial" w:eastAsia="Times New Roman" w:hAnsi="Arial" w:cs="Arial"/>
        </w:rPr>
        <w:t xml:space="preserve">de forma que sirva para establecer posteriormente la consideración de envasador. </w:t>
      </w:r>
    </w:p>
    <w:p w14:paraId="04498411" w14:textId="77777777" w:rsidR="0041591E" w:rsidRDefault="005A76B9" w:rsidP="0041591E">
      <w:pPr>
        <w:numPr>
          <w:ilvl w:val="1"/>
          <w:numId w:val="27"/>
        </w:numPr>
        <w:autoSpaceDE w:val="0"/>
        <w:autoSpaceDN w:val="0"/>
        <w:spacing w:line="276" w:lineRule="auto"/>
        <w:contextualSpacing/>
        <w:jc w:val="both"/>
        <w:rPr>
          <w:rFonts w:ascii="Arial" w:eastAsia="Times New Roman" w:hAnsi="Arial" w:cs="Arial"/>
        </w:rPr>
      </w:pPr>
      <w:r w:rsidRPr="008D4939">
        <w:rPr>
          <w:rFonts w:ascii="Arial" w:eastAsia="Times New Roman" w:hAnsi="Arial" w:cs="Arial"/>
        </w:rPr>
        <w:t xml:space="preserve">La definición no distinguiría entre materiales, dado que pueden ser de cualquier material </w:t>
      </w:r>
    </w:p>
    <w:p w14:paraId="0C4992B5" w14:textId="4BD6A374" w:rsidR="005A76B9" w:rsidRPr="008D4939" w:rsidRDefault="005A76B9" w:rsidP="0041591E">
      <w:pPr>
        <w:numPr>
          <w:ilvl w:val="1"/>
          <w:numId w:val="27"/>
        </w:numPr>
        <w:autoSpaceDE w:val="0"/>
        <w:autoSpaceDN w:val="0"/>
        <w:spacing w:line="276" w:lineRule="auto"/>
        <w:contextualSpacing/>
        <w:jc w:val="both"/>
        <w:rPr>
          <w:rFonts w:ascii="Arial" w:eastAsia="Times New Roman" w:hAnsi="Arial" w:cs="Arial"/>
        </w:rPr>
      </w:pPr>
      <w:r w:rsidRPr="008D4939">
        <w:rPr>
          <w:rFonts w:ascii="Arial" w:eastAsia="Times New Roman" w:hAnsi="Arial" w:cs="Arial"/>
        </w:rPr>
        <w:t>y, adicionalmente, si se tratara de envases reutilizables, sería de aplicación lo previsto en la disposición adicional primera, apartado 2, de la Ley11/1997, de 24 de abril, de Envases y Residuos de Envases.</w:t>
      </w:r>
    </w:p>
    <w:p w14:paraId="2E6F7FBA" w14:textId="05D7C4CB" w:rsidR="005A76B9" w:rsidRDefault="005A76B9" w:rsidP="005F0380">
      <w:pPr>
        <w:jc w:val="both"/>
        <w:rPr>
          <w:rFonts w:asciiTheme="majorHAnsi" w:hAnsiTheme="majorHAnsi"/>
          <w:b/>
        </w:rPr>
      </w:pPr>
    </w:p>
    <w:p w14:paraId="4C418AA3" w14:textId="601FF1DE" w:rsidR="005A76B9" w:rsidRPr="008D4939" w:rsidRDefault="005A76B9" w:rsidP="005A76B9">
      <w:pPr>
        <w:pStyle w:val="Prrafodelista"/>
        <w:numPr>
          <w:ilvl w:val="0"/>
          <w:numId w:val="27"/>
        </w:numPr>
        <w:autoSpaceDE w:val="0"/>
        <w:autoSpaceDN w:val="0"/>
        <w:spacing w:after="0"/>
        <w:jc w:val="both"/>
        <w:rPr>
          <w:rFonts w:ascii="Arial" w:eastAsia="Times New Roman" w:hAnsi="Arial" w:cs="Arial"/>
          <w:lang w:eastAsia="es-ES"/>
        </w:rPr>
      </w:pPr>
      <w:r w:rsidRPr="008D4939">
        <w:rPr>
          <w:rFonts w:ascii="Arial" w:eastAsia="Times New Roman" w:hAnsi="Arial" w:cs="Arial"/>
          <w:lang w:eastAsia="es-ES"/>
        </w:rPr>
        <w:t>Una vez definido el envase sobre el que se quiere adaptar la regulación, se debe establecer qui</w:t>
      </w:r>
      <w:r>
        <w:rPr>
          <w:rFonts w:ascii="Arial" w:eastAsia="Times New Roman" w:hAnsi="Arial" w:cs="Arial"/>
          <w:lang w:eastAsia="es-ES"/>
        </w:rPr>
        <w:t>é</w:t>
      </w:r>
      <w:r w:rsidRPr="008D4939">
        <w:rPr>
          <w:rFonts w:ascii="Arial" w:eastAsia="Times New Roman" w:hAnsi="Arial" w:cs="Arial"/>
          <w:lang w:eastAsia="es-ES"/>
        </w:rPr>
        <w:t xml:space="preserve">n es el agente responsable, es decir, </w:t>
      </w:r>
      <w:r w:rsidRPr="008D4939">
        <w:rPr>
          <w:rFonts w:ascii="Arial" w:eastAsia="Times New Roman" w:hAnsi="Arial" w:cs="Arial"/>
          <w:b/>
          <w:lang w:eastAsia="es-ES"/>
        </w:rPr>
        <w:t>quien tendría la consideración de “envasador</w:t>
      </w:r>
      <w:r w:rsidRPr="008D4939">
        <w:rPr>
          <w:rFonts w:ascii="Arial" w:eastAsia="Times New Roman" w:hAnsi="Arial" w:cs="Arial"/>
          <w:lang w:eastAsia="es-ES"/>
        </w:rPr>
        <w:t xml:space="preserve">”. En primer lugar hay que tener en cuenta la complejidad del modelo </w:t>
      </w:r>
      <w:r w:rsidRPr="008D4939">
        <w:rPr>
          <w:rFonts w:ascii="Arial" w:eastAsia="Times New Roman" w:hAnsi="Arial" w:cs="Arial"/>
          <w:lang w:eastAsia="es-ES"/>
        </w:rPr>
        <w:lastRenderedPageBreak/>
        <w:t xml:space="preserve">habida cuenta de la participación de múltiples actores: comercios, distribución, almacenes de preparación del envío, almacenes intermedios, transportistas, empresas de mensajería, empresas de paquetería, plataformas </w:t>
      </w:r>
      <w:proofErr w:type="spellStart"/>
      <w:r w:rsidRPr="008D4939">
        <w:rPr>
          <w:rFonts w:ascii="Arial" w:eastAsia="Times New Roman" w:hAnsi="Arial" w:cs="Arial"/>
          <w:lang w:eastAsia="es-ES"/>
        </w:rPr>
        <w:t>Market</w:t>
      </w:r>
      <w:proofErr w:type="spellEnd"/>
      <w:r w:rsidRPr="008D4939">
        <w:rPr>
          <w:rFonts w:ascii="Arial" w:eastAsia="Times New Roman" w:hAnsi="Arial" w:cs="Arial"/>
          <w:lang w:eastAsia="es-ES"/>
        </w:rPr>
        <w:t xml:space="preserve"> Place (las que actúan sólo como “escaparate” sin participación en la compra-venta o la entrega del </w:t>
      </w:r>
      <w:proofErr w:type="gramStart"/>
      <w:r w:rsidRPr="008D4939">
        <w:rPr>
          <w:rFonts w:ascii="Arial" w:eastAsia="Times New Roman" w:hAnsi="Arial" w:cs="Arial"/>
          <w:lang w:eastAsia="es-ES"/>
        </w:rPr>
        <w:t>producto)…</w:t>
      </w:r>
      <w:proofErr w:type="gramEnd"/>
      <w:r w:rsidRPr="008D4939">
        <w:rPr>
          <w:rFonts w:ascii="Arial" w:eastAsia="Times New Roman" w:hAnsi="Arial" w:cs="Arial"/>
          <w:lang w:eastAsia="es-ES"/>
        </w:rPr>
        <w:t xml:space="preserve"> Por otra parte, haciendo una similitud con el envasador del producto envasado, el agente que tiene la capacidad de decisión sobre el envase que se añade (tipo de material, formato de </w:t>
      </w:r>
      <w:proofErr w:type="gramStart"/>
      <w:r w:rsidRPr="008D4939">
        <w:rPr>
          <w:rFonts w:ascii="Arial" w:eastAsia="Times New Roman" w:hAnsi="Arial" w:cs="Arial"/>
          <w:lang w:eastAsia="es-ES"/>
        </w:rPr>
        <w:t>envase,…</w:t>
      </w:r>
      <w:proofErr w:type="gramEnd"/>
      <w:r w:rsidRPr="008D4939">
        <w:rPr>
          <w:rFonts w:ascii="Arial" w:eastAsia="Times New Roman" w:hAnsi="Arial" w:cs="Arial"/>
          <w:lang w:eastAsia="es-ES"/>
        </w:rPr>
        <w:t xml:space="preserve">.) y quien tiene la información directa sobre el mismo (peso, tipo de material, …) es </w:t>
      </w:r>
      <w:r w:rsidRPr="008D4939">
        <w:rPr>
          <w:rFonts w:ascii="Arial" w:eastAsia="Times New Roman" w:hAnsi="Arial" w:cs="Arial"/>
          <w:b/>
          <w:lang w:eastAsia="es-ES"/>
        </w:rPr>
        <w:t>quien añade el envase específico de comercio electrónico</w:t>
      </w:r>
      <w:r w:rsidRPr="008D4939">
        <w:rPr>
          <w:rFonts w:ascii="Arial" w:eastAsia="Times New Roman" w:hAnsi="Arial" w:cs="Arial"/>
          <w:lang w:eastAsia="es-ES"/>
        </w:rPr>
        <w:t xml:space="preserve">, pudiendo coincidir o no con el comercio/centro de distribución que participó en la operación de </w:t>
      </w:r>
      <w:r w:rsidR="00236CB3" w:rsidRPr="008D4939">
        <w:rPr>
          <w:rFonts w:ascii="Arial" w:eastAsia="Times New Roman" w:hAnsi="Arial" w:cs="Arial"/>
          <w:lang w:eastAsia="es-ES"/>
        </w:rPr>
        <w:t>venta</w:t>
      </w:r>
      <w:r w:rsidR="00236CB3">
        <w:rPr>
          <w:rFonts w:ascii="Arial" w:eastAsia="Times New Roman" w:hAnsi="Arial" w:cs="Arial"/>
          <w:lang w:eastAsia="es-ES"/>
        </w:rPr>
        <w:t xml:space="preserve"> o con la plataforma electrónica que actuó como intermediaria</w:t>
      </w:r>
      <w:r w:rsidR="00236CB3" w:rsidRPr="008D4939">
        <w:rPr>
          <w:rFonts w:ascii="Arial" w:eastAsia="Times New Roman" w:hAnsi="Arial" w:cs="Arial"/>
          <w:lang w:eastAsia="es-ES"/>
        </w:rPr>
        <w:t>.</w:t>
      </w:r>
    </w:p>
    <w:p w14:paraId="097064DD" w14:textId="77777777" w:rsidR="005A76B9" w:rsidRPr="008D4939" w:rsidRDefault="005A76B9" w:rsidP="005A76B9">
      <w:pPr>
        <w:autoSpaceDE w:val="0"/>
        <w:autoSpaceDN w:val="0"/>
        <w:spacing w:line="276" w:lineRule="auto"/>
        <w:contextualSpacing/>
        <w:rPr>
          <w:rFonts w:ascii="Arial" w:eastAsia="Times New Roman" w:hAnsi="Arial" w:cs="Arial"/>
        </w:rPr>
      </w:pPr>
    </w:p>
    <w:p w14:paraId="37DA1700" w14:textId="77777777" w:rsidR="005A76B9" w:rsidRPr="008D4939" w:rsidRDefault="005A76B9" w:rsidP="005A76B9">
      <w:pPr>
        <w:spacing w:line="276" w:lineRule="auto"/>
        <w:ind w:left="420"/>
        <w:contextualSpacing/>
        <w:rPr>
          <w:rFonts w:ascii="Arial" w:eastAsia="Times New Roman" w:hAnsi="Arial" w:cs="Arial"/>
        </w:rPr>
      </w:pPr>
      <w:r w:rsidRPr="008D4939">
        <w:rPr>
          <w:rFonts w:ascii="Arial" w:eastAsia="Times New Roman" w:hAnsi="Arial" w:cs="Arial"/>
        </w:rPr>
        <w:t xml:space="preserve">De cara a facilitar la implantación de medidas de ecodiseño y prevención y también de cara a buscar un esquema de información que sea eficaz y que responda a la práctica habitual, parece conveniente asociar la consideración de envasador al </w:t>
      </w:r>
      <w:r w:rsidRPr="008D4939">
        <w:rPr>
          <w:rFonts w:ascii="Arial" w:eastAsia="Times New Roman" w:hAnsi="Arial" w:cs="Arial"/>
          <w:b/>
        </w:rPr>
        <w:t>agente que lleve a cabo la adición del nuevo envase</w:t>
      </w:r>
      <w:r w:rsidRPr="008D4939">
        <w:rPr>
          <w:rFonts w:ascii="Arial" w:eastAsia="Times New Roman" w:hAnsi="Arial" w:cs="Arial"/>
        </w:rPr>
        <w:t xml:space="preserve">, bien por ser el propio agente que participó en la operación de venta al particular, o bien, por haber recibido el encargo del agente que participó en la venta al particular. No obstante, para este segundo caso, se podría plantear que de forma voluntaria sea el comercio el que asuma la </w:t>
      </w:r>
      <w:proofErr w:type="gramStart"/>
      <w:r w:rsidRPr="008D4939">
        <w:rPr>
          <w:rFonts w:ascii="Arial" w:eastAsia="Times New Roman" w:hAnsi="Arial" w:cs="Arial"/>
        </w:rPr>
        <w:t>responsabilidad  por</w:t>
      </w:r>
      <w:proofErr w:type="gramEnd"/>
      <w:r w:rsidRPr="008D4939">
        <w:rPr>
          <w:rFonts w:ascii="Arial" w:eastAsia="Times New Roman" w:hAnsi="Arial" w:cs="Arial"/>
        </w:rPr>
        <w:t xml:space="preserve"> acuerdo con el agente que lleve a cabo la adición del nuevo envase. </w:t>
      </w:r>
    </w:p>
    <w:p w14:paraId="41A55DF0" w14:textId="3983E2CD" w:rsidR="005A76B9" w:rsidRDefault="005A76B9" w:rsidP="005F0380">
      <w:pPr>
        <w:jc w:val="both"/>
        <w:rPr>
          <w:rFonts w:asciiTheme="majorHAnsi" w:hAnsiTheme="majorHAnsi"/>
          <w:b/>
        </w:rPr>
      </w:pPr>
    </w:p>
    <w:p w14:paraId="15727113" w14:textId="77777777" w:rsidR="00DE6A2A" w:rsidRPr="008D4939" w:rsidRDefault="00DE6A2A" w:rsidP="00DE6A2A">
      <w:pPr>
        <w:autoSpaceDE w:val="0"/>
        <w:autoSpaceDN w:val="0"/>
        <w:spacing w:line="276" w:lineRule="auto"/>
        <w:ind w:left="420"/>
        <w:contextualSpacing/>
        <w:rPr>
          <w:rFonts w:ascii="Arial" w:eastAsia="Times New Roman" w:hAnsi="Arial" w:cs="Arial"/>
        </w:rPr>
      </w:pPr>
      <w:r w:rsidRPr="008D4939">
        <w:rPr>
          <w:rFonts w:ascii="Arial" w:eastAsia="Times New Roman" w:hAnsi="Arial" w:cs="Arial"/>
        </w:rPr>
        <w:t xml:space="preserve">Con este planteamiento, en el caso de creación de un registro de productores de productos, los agentes responsables de llevar a cabo la adición del envase específico de comercio </w:t>
      </w:r>
      <w:proofErr w:type="gramStart"/>
      <w:r w:rsidRPr="008D4939">
        <w:rPr>
          <w:rFonts w:ascii="Arial" w:eastAsia="Times New Roman" w:hAnsi="Arial" w:cs="Arial"/>
        </w:rPr>
        <w:t>electrónico,</w:t>
      </w:r>
      <w:proofErr w:type="gramEnd"/>
      <w:r w:rsidRPr="008D4939">
        <w:rPr>
          <w:rFonts w:ascii="Arial" w:eastAsia="Times New Roman" w:hAnsi="Arial" w:cs="Arial"/>
        </w:rPr>
        <w:t xml:space="preserve"> deberían inscribirse en el mismo y aportar la información relativa a estos envases.</w:t>
      </w:r>
    </w:p>
    <w:p w14:paraId="6268A30B" w14:textId="77777777" w:rsidR="00DE6A2A" w:rsidRPr="008D4939" w:rsidRDefault="00DE6A2A" w:rsidP="00DE6A2A">
      <w:pPr>
        <w:autoSpaceDE w:val="0"/>
        <w:autoSpaceDN w:val="0"/>
        <w:spacing w:line="276" w:lineRule="auto"/>
        <w:ind w:left="420"/>
        <w:contextualSpacing/>
        <w:rPr>
          <w:rFonts w:ascii="Arial" w:eastAsia="Times New Roman" w:hAnsi="Arial" w:cs="Arial"/>
        </w:rPr>
      </w:pPr>
    </w:p>
    <w:p w14:paraId="6343BF3A" w14:textId="36E8463A" w:rsidR="00DE6A2A" w:rsidRDefault="00DE6A2A" w:rsidP="00DE6A2A">
      <w:pPr>
        <w:autoSpaceDE w:val="0"/>
        <w:autoSpaceDN w:val="0"/>
        <w:spacing w:line="276" w:lineRule="auto"/>
        <w:ind w:left="420"/>
        <w:contextualSpacing/>
        <w:rPr>
          <w:rFonts w:ascii="Arial" w:eastAsia="Times New Roman" w:hAnsi="Arial" w:cs="Arial"/>
        </w:rPr>
      </w:pPr>
      <w:r w:rsidRPr="008D4939">
        <w:rPr>
          <w:rFonts w:ascii="Arial" w:eastAsia="Times New Roman" w:hAnsi="Arial" w:cs="Arial"/>
        </w:rPr>
        <w:t xml:space="preserve">La consideración de “comercio” en el párrafo propuesto incluye tanto el comercio físico que dispone de su propia web de venta, como el caso de venta a través de una web, sin establecimiento físico. </w:t>
      </w:r>
      <w:r w:rsidRPr="00DE6A2A">
        <w:rPr>
          <w:rFonts w:ascii="Arial" w:eastAsia="Times New Roman" w:hAnsi="Arial" w:cs="Arial"/>
          <w:b/>
        </w:rPr>
        <w:t xml:space="preserve">Y no incluye, al no tener participación en la operación de </w:t>
      </w:r>
      <w:proofErr w:type="gramStart"/>
      <w:r w:rsidRPr="00DE6A2A">
        <w:rPr>
          <w:rFonts w:ascii="Arial" w:eastAsia="Times New Roman" w:hAnsi="Arial" w:cs="Arial"/>
          <w:b/>
        </w:rPr>
        <w:t>compra-venta</w:t>
      </w:r>
      <w:proofErr w:type="gramEnd"/>
      <w:r w:rsidRPr="00DE6A2A">
        <w:rPr>
          <w:rFonts w:ascii="Arial" w:eastAsia="Times New Roman" w:hAnsi="Arial" w:cs="Arial"/>
          <w:b/>
        </w:rPr>
        <w:t xml:space="preserve"> a particular, la situación en la que una plataforma web actúa únicamente como “escaparate”</w:t>
      </w:r>
      <w:r w:rsidRPr="008D4939">
        <w:rPr>
          <w:rFonts w:ascii="Arial" w:eastAsia="Times New Roman" w:hAnsi="Arial" w:cs="Arial"/>
        </w:rPr>
        <w:t xml:space="preserve"> y su participación se limita a poner en contacto al particular con el agente responsable de la venta.</w:t>
      </w:r>
    </w:p>
    <w:p w14:paraId="07DAE6DB" w14:textId="77777777" w:rsidR="005066B1" w:rsidRDefault="005066B1" w:rsidP="00DE6A2A">
      <w:pPr>
        <w:autoSpaceDE w:val="0"/>
        <w:autoSpaceDN w:val="0"/>
        <w:spacing w:line="276" w:lineRule="auto"/>
        <w:ind w:left="420"/>
        <w:contextualSpacing/>
        <w:rPr>
          <w:rFonts w:ascii="Arial" w:eastAsia="Times New Roman" w:hAnsi="Arial" w:cs="Arial"/>
        </w:rPr>
      </w:pPr>
    </w:p>
    <w:p w14:paraId="640309E4" w14:textId="2CA7C5C6" w:rsidR="005066B1" w:rsidRPr="005066B1" w:rsidRDefault="005066B1" w:rsidP="005066B1">
      <w:pPr>
        <w:pStyle w:val="Prrafodelista"/>
        <w:numPr>
          <w:ilvl w:val="0"/>
          <w:numId w:val="27"/>
        </w:numPr>
        <w:autoSpaceDE w:val="0"/>
        <w:autoSpaceDN w:val="0"/>
        <w:rPr>
          <w:rFonts w:ascii="Arial" w:eastAsia="Times New Roman" w:hAnsi="Arial" w:cs="Arial"/>
        </w:rPr>
      </w:pPr>
      <w:r w:rsidRPr="005066B1">
        <w:rPr>
          <w:rFonts w:ascii="Arial" w:eastAsia="Times New Roman" w:hAnsi="Arial" w:cs="Arial"/>
        </w:rPr>
        <w:t xml:space="preserve">Por último, se incluye también una referencia específica para los productos procedentes de fuera de España.  En este supuesto, si la adición del envase específico para comercio electrónico se hace dentro de España, aplicaría lo mismo y, si la adición del envase específico se hace fuera de España, lo más conveniente sería a efectos de control, asociar la responsabilidad de forma obligatoria a quien figure como responsable del producto envasado que se pone en el mercado español.  </w:t>
      </w:r>
    </w:p>
    <w:p w14:paraId="428E007C" w14:textId="77777777" w:rsidR="00DE7556" w:rsidRDefault="00DE7556" w:rsidP="00DE7556">
      <w:pPr>
        <w:pStyle w:val="Prrafodelista"/>
        <w:autoSpaceDE w:val="0"/>
        <w:autoSpaceDN w:val="0"/>
        <w:ind w:left="420"/>
        <w:rPr>
          <w:rFonts w:ascii="Arial" w:eastAsia="Times New Roman" w:hAnsi="Arial" w:cs="Arial"/>
        </w:rPr>
      </w:pPr>
    </w:p>
    <w:p w14:paraId="4F6D8F7A" w14:textId="512077EF" w:rsidR="00DE7556" w:rsidRPr="00DE7556" w:rsidRDefault="00DE7556" w:rsidP="00DE7556">
      <w:pPr>
        <w:pStyle w:val="Prrafodelista"/>
        <w:autoSpaceDE w:val="0"/>
        <w:autoSpaceDN w:val="0"/>
        <w:ind w:left="420"/>
        <w:rPr>
          <w:rFonts w:ascii="Arial" w:eastAsia="Times New Roman" w:hAnsi="Arial" w:cs="Arial"/>
        </w:rPr>
      </w:pPr>
      <w:r>
        <w:rPr>
          <w:rFonts w:ascii="Arial" w:eastAsia="Times New Roman" w:hAnsi="Arial" w:cs="Arial"/>
        </w:rPr>
        <w:t>P</w:t>
      </w:r>
      <w:r w:rsidRPr="00DE7556">
        <w:rPr>
          <w:rFonts w:ascii="Arial" w:eastAsia="Times New Roman" w:hAnsi="Arial" w:cs="Arial"/>
        </w:rPr>
        <w:t xml:space="preserve">ara garantizar que el agente responsable de la venta de un producto envasado fuera de España responde a sus obligaciones, se plantea </w:t>
      </w:r>
      <w:r>
        <w:rPr>
          <w:rFonts w:ascii="Arial" w:eastAsia="Times New Roman" w:hAnsi="Arial" w:cs="Arial"/>
        </w:rPr>
        <w:t xml:space="preserve">más adelante en </w:t>
      </w:r>
      <w:r w:rsidRPr="00DE7556">
        <w:rPr>
          <w:rFonts w:ascii="Arial" w:eastAsia="Times New Roman" w:hAnsi="Arial" w:cs="Arial"/>
        </w:rPr>
        <w:t xml:space="preserve">este documento, </w:t>
      </w:r>
      <w:r w:rsidRPr="00DE7556">
        <w:rPr>
          <w:rFonts w:ascii="Arial" w:eastAsia="Times New Roman" w:hAnsi="Arial" w:cs="Arial"/>
        </w:rPr>
        <w:lastRenderedPageBreak/>
        <w:t xml:space="preserve">la obligación de que los responsables de la primera puesta en el mercado nacional español de productos procedentes de otros países </w:t>
      </w:r>
      <w:r w:rsidRPr="00DE7556">
        <w:rPr>
          <w:rFonts w:ascii="Arial" w:eastAsia="Times New Roman" w:hAnsi="Arial" w:cs="Arial"/>
          <w:b/>
        </w:rPr>
        <w:t xml:space="preserve">deban contar con un representante autorizado </w:t>
      </w:r>
      <w:r w:rsidRPr="00DE7556">
        <w:rPr>
          <w:rFonts w:ascii="Arial" w:eastAsia="Times New Roman" w:hAnsi="Arial" w:cs="Arial"/>
        </w:rPr>
        <w:t xml:space="preserve">en España, a efectos del cumplimiento de las obligaciones de la RAP derivadas de la normativa de envases. </w:t>
      </w:r>
    </w:p>
    <w:p w14:paraId="13A0A8A5" w14:textId="75601688" w:rsidR="00DE6A2A" w:rsidRDefault="00DE6A2A" w:rsidP="005F0380">
      <w:pPr>
        <w:jc w:val="both"/>
        <w:rPr>
          <w:rFonts w:asciiTheme="majorHAnsi" w:hAnsiTheme="majorHAnsi"/>
          <w:b/>
        </w:rPr>
      </w:pPr>
    </w:p>
    <w:p w14:paraId="024D49F5" w14:textId="6A1AFADE" w:rsidR="00241AC9" w:rsidRDefault="00241AC9" w:rsidP="005F0380">
      <w:pPr>
        <w:jc w:val="both"/>
        <w:rPr>
          <w:rFonts w:asciiTheme="majorHAnsi" w:hAnsiTheme="majorHAnsi"/>
          <w:b/>
        </w:rPr>
      </w:pPr>
    </w:p>
    <w:p w14:paraId="2816FFB4" w14:textId="77777777" w:rsidR="00241AC9" w:rsidRDefault="00241AC9" w:rsidP="005F0380">
      <w:pPr>
        <w:jc w:val="both"/>
        <w:rPr>
          <w:rFonts w:asciiTheme="majorHAnsi" w:hAnsiTheme="majorHAnsi"/>
          <w:b/>
        </w:rPr>
      </w:pPr>
    </w:p>
    <w:p w14:paraId="1EB46C99" w14:textId="0AB6E215" w:rsidR="00CD5807" w:rsidRDefault="00CD5807" w:rsidP="005F0380">
      <w:pPr>
        <w:jc w:val="both"/>
        <w:rPr>
          <w:rFonts w:asciiTheme="majorHAnsi" w:hAnsiTheme="majorHAnsi"/>
          <w:b/>
        </w:rPr>
      </w:pPr>
    </w:p>
    <w:p w14:paraId="22035852" w14:textId="77777777" w:rsidR="00241AC9" w:rsidRPr="00F222BD" w:rsidRDefault="00241AC9" w:rsidP="00241AC9">
      <w:pPr>
        <w:pStyle w:val="Prrafodelista"/>
        <w:numPr>
          <w:ilvl w:val="0"/>
          <w:numId w:val="34"/>
        </w:numPr>
        <w:jc w:val="both"/>
        <w:rPr>
          <w:rFonts w:asciiTheme="majorHAnsi" w:hAnsiTheme="majorHAnsi"/>
          <w:b/>
        </w:rPr>
      </w:pPr>
      <w:r w:rsidRPr="00F222BD">
        <w:rPr>
          <w:rFonts w:asciiTheme="majorHAnsi" w:hAnsiTheme="majorHAnsi"/>
          <w:b/>
        </w:rPr>
        <w:t>COMENTARIO X</w:t>
      </w:r>
    </w:p>
    <w:p w14:paraId="33175812" w14:textId="0107E914" w:rsidR="00CD5807" w:rsidRDefault="00CD5807" w:rsidP="002C7A20">
      <w:pPr>
        <w:jc w:val="both"/>
        <w:rPr>
          <w:rFonts w:asciiTheme="majorHAnsi" w:hAnsiTheme="majorHAnsi"/>
          <w:b/>
        </w:rPr>
      </w:pPr>
      <w:r>
        <w:rPr>
          <w:rFonts w:asciiTheme="majorHAnsi" w:hAnsiTheme="majorHAnsi"/>
          <w:b/>
        </w:rPr>
        <w:t>LUCHA CONTRA EL FRAUDE:</w:t>
      </w:r>
    </w:p>
    <w:p w14:paraId="6D27BC0A" w14:textId="41313449" w:rsidR="00CD5807" w:rsidRDefault="00CD5807" w:rsidP="008413EA">
      <w:pPr>
        <w:spacing w:before="240"/>
        <w:ind w:left="708"/>
        <w:rPr>
          <w:rFonts w:ascii="Arial" w:hAnsi="Arial" w:cs="Arial"/>
        </w:rPr>
      </w:pPr>
      <w:r>
        <w:rPr>
          <w:rFonts w:ascii="Arial" w:hAnsi="Arial" w:cs="Arial"/>
        </w:rPr>
        <w:t>S</w:t>
      </w:r>
      <w:r w:rsidRPr="000947B7">
        <w:rPr>
          <w:rFonts w:ascii="Arial" w:hAnsi="Arial" w:cs="Arial"/>
        </w:rPr>
        <w:t xml:space="preserve">i se continuara con </w:t>
      </w:r>
      <w:r>
        <w:rPr>
          <w:rFonts w:ascii="Arial" w:hAnsi="Arial" w:cs="Arial"/>
        </w:rPr>
        <w:t>la transposición de manera parcial</w:t>
      </w:r>
      <w:r w:rsidRPr="000947B7">
        <w:rPr>
          <w:rFonts w:ascii="Arial" w:hAnsi="Arial" w:cs="Arial"/>
        </w:rPr>
        <w:t xml:space="preserve">, debería aprovecharse la oportunidad de la tramitación del proyecto para incluir </w:t>
      </w:r>
      <w:r w:rsidRPr="00CD5807">
        <w:rPr>
          <w:rFonts w:ascii="Arial" w:hAnsi="Arial" w:cs="Arial"/>
          <w:b/>
        </w:rPr>
        <w:t>otras medidas adicionales</w:t>
      </w:r>
      <w:r w:rsidRPr="00CD5807">
        <w:rPr>
          <w:rFonts w:ascii="Arial" w:hAnsi="Arial" w:cs="Arial"/>
        </w:rPr>
        <w:t xml:space="preserve">, </w:t>
      </w:r>
      <w:r w:rsidRPr="00CD5807">
        <w:rPr>
          <w:rFonts w:ascii="Arial" w:hAnsi="Arial" w:cs="Arial"/>
          <w:b/>
        </w:rPr>
        <w:t>fundamentalmente para facilitar la lucha contra el fraude</w:t>
      </w:r>
      <w:r w:rsidRPr="000947B7">
        <w:rPr>
          <w:rFonts w:ascii="Arial" w:hAnsi="Arial" w:cs="Arial"/>
        </w:rPr>
        <w:t xml:space="preserve"> </w:t>
      </w:r>
      <w:r w:rsidRPr="00CD5807">
        <w:rPr>
          <w:rFonts w:ascii="Arial" w:hAnsi="Arial" w:cs="Arial"/>
          <w:b/>
        </w:rPr>
        <w:t xml:space="preserve">consistente en la puesta en el mercado nacional de productos envasados sin cumplir las obligaciones previstas en la Ley 11/1997. </w:t>
      </w:r>
      <w:r w:rsidRPr="000947B7">
        <w:rPr>
          <w:rFonts w:ascii="Arial" w:hAnsi="Arial" w:cs="Arial"/>
        </w:rPr>
        <w:t>En concreto</w:t>
      </w:r>
      <w:r>
        <w:rPr>
          <w:rFonts w:ascii="Arial" w:hAnsi="Arial" w:cs="Arial"/>
        </w:rPr>
        <w:t>:</w:t>
      </w:r>
      <w:r w:rsidRPr="000947B7">
        <w:rPr>
          <w:rFonts w:ascii="Arial" w:hAnsi="Arial" w:cs="Arial"/>
        </w:rPr>
        <w:t xml:space="preserve"> </w:t>
      </w:r>
    </w:p>
    <w:p w14:paraId="1345A546" w14:textId="77777777" w:rsidR="00D51D5B" w:rsidRDefault="00D51D5B" w:rsidP="008413EA">
      <w:pPr>
        <w:spacing w:before="240"/>
        <w:ind w:left="708"/>
        <w:rPr>
          <w:rFonts w:ascii="Arial" w:hAnsi="Arial" w:cs="Arial"/>
        </w:rPr>
      </w:pPr>
    </w:p>
    <w:p w14:paraId="2865BDD3" w14:textId="5737D079" w:rsidR="00CD5807" w:rsidRPr="000947B7" w:rsidRDefault="00D51D5B" w:rsidP="008413EA">
      <w:pPr>
        <w:spacing w:before="240"/>
        <w:ind w:left="708"/>
        <w:rPr>
          <w:rFonts w:ascii="Arial" w:hAnsi="Arial" w:cs="Arial"/>
          <w:b/>
          <w:u w:val="single"/>
        </w:rPr>
      </w:pPr>
      <w:r>
        <w:rPr>
          <w:rFonts w:ascii="Arial" w:hAnsi="Arial" w:cs="Arial"/>
        </w:rPr>
        <w:t xml:space="preserve">PROPUESTA: </w:t>
      </w:r>
      <w:r w:rsidRPr="00D51D5B">
        <w:rPr>
          <w:rFonts w:ascii="Arial" w:hAnsi="Arial" w:cs="Arial"/>
          <w:b/>
          <w:u w:val="single"/>
        </w:rPr>
        <w:t>I</w:t>
      </w:r>
      <w:r w:rsidR="00CD5807" w:rsidRPr="00D51D5B">
        <w:rPr>
          <w:rFonts w:ascii="Arial" w:hAnsi="Arial" w:cs="Arial"/>
          <w:b/>
          <w:u w:val="single"/>
        </w:rPr>
        <w:t>nscripción</w:t>
      </w:r>
      <w:r w:rsidR="00CD5807" w:rsidRPr="000947B7">
        <w:rPr>
          <w:rFonts w:ascii="Arial" w:hAnsi="Arial" w:cs="Arial"/>
          <w:b/>
          <w:u w:val="single"/>
        </w:rPr>
        <w:t xml:space="preserve"> de los envasadores en el Registro de Productores de Productos.</w:t>
      </w:r>
    </w:p>
    <w:p w14:paraId="1D64DAF9" w14:textId="77777777" w:rsidR="00D51D5B" w:rsidRDefault="00CD5807" w:rsidP="008413EA">
      <w:pPr>
        <w:spacing w:before="240"/>
        <w:ind w:left="708"/>
        <w:rPr>
          <w:rFonts w:ascii="Arial" w:hAnsi="Arial" w:cs="Arial"/>
        </w:rPr>
      </w:pPr>
      <w:r w:rsidRPr="000947B7">
        <w:rPr>
          <w:rFonts w:ascii="Arial" w:hAnsi="Arial" w:cs="Arial"/>
        </w:rPr>
        <w:t xml:space="preserve">Este Registro administrativo fue creado mediante el Real Decreto 293/2018, de 18 de mayo, en cuyo art. 7.2 se establece </w:t>
      </w:r>
      <w:proofErr w:type="gramStart"/>
      <w:r w:rsidRPr="000947B7">
        <w:rPr>
          <w:rFonts w:ascii="Arial" w:hAnsi="Arial" w:cs="Arial"/>
        </w:rPr>
        <w:t>que  “</w:t>
      </w:r>
      <w:proofErr w:type="gramEnd"/>
      <w:r w:rsidRPr="000947B7">
        <w:rPr>
          <w:rFonts w:ascii="Arial" w:hAnsi="Arial" w:cs="Arial"/>
          <w:i/>
        </w:rPr>
        <w:t>a través de las correspondientes normas reguladoras de residuos podrán establecerse nuevas secciones del Registro de Productores de Productos con el contenido que éstas determinen</w:t>
      </w:r>
      <w:r w:rsidRPr="000947B7">
        <w:rPr>
          <w:rFonts w:ascii="Arial" w:hAnsi="Arial" w:cs="Arial"/>
        </w:rPr>
        <w:t xml:space="preserve">”. </w:t>
      </w:r>
    </w:p>
    <w:p w14:paraId="62301A99" w14:textId="5B7472CC" w:rsidR="00CD5807" w:rsidRPr="000947B7" w:rsidRDefault="00CD5807" w:rsidP="008413EA">
      <w:pPr>
        <w:spacing w:before="240"/>
        <w:ind w:left="708"/>
        <w:rPr>
          <w:rFonts w:ascii="Arial" w:hAnsi="Arial" w:cs="Arial"/>
        </w:rPr>
      </w:pPr>
      <w:r w:rsidRPr="000947B7">
        <w:rPr>
          <w:rFonts w:ascii="Arial" w:hAnsi="Arial" w:cs="Arial"/>
        </w:rPr>
        <w:t>Por lo tanto, en este proyecto se puede incluir ya la creación de la Sección de envases del Registro, con una regulación pormenorizada de su contenido.</w:t>
      </w:r>
    </w:p>
    <w:p w14:paraId="6A793C57" w14:textId="1E69F44F" w:rsidR="00CD5807" w:rsidRPr="000947B7" w:rsidRDefault="00CD5807" w:rsidP="008413EA">
      <w:pPr>
        <w:spacing w:before="240"/>
        <w:ind w:left="708"/>
        <w:rPr>
          <w:rFonts w:ascii="Arial" w:hAnsi="Arial" w:cs="Arial"/>
          <w:b/>
        </w:rPr>
      </w:pPr>
      <w:r w:rsidRPr="000947B7">
        <w:rPr>
          <w:rFonts w:ascii="Arial" w:hAnsi="Arial" w:cs="Arial"/>
        </w:rPr>
        <w:t xml:space="preserve">La inscripción en este Registro resulta un instrumento muy relevante en la lucha contra el fraude, máxime si su regulación se completa con la exigencia (ya prevista en el RD 110/20015 para los productores de </w:t>
      </w:r>
      <w:r w:rsidR="00BB686D">
        <w:rPr>
          <w:rFonts w:ascii="Arial" w:hAnsi="Arial" w:cs="Arial"/>
        </w:rPr>
        <w:t>Aparatos Eléctricos y ELECTRÓNICOS -</w:t>
      </w:r>
      <w:r w:rsidRPr="000947B7">
        <w:rPr>
          <w:rFonts w:ascii="Arial" w:hAnsi="Arial" w:cs="Arial"/>
        </w:rPr>
        <w:t>AEE</w:t>
      </w:r>
      <w:r w:rsidR="00BB686D">
        <w:rPr>
          <w:rFonts w:ascii="Arial" w:hAnsi="Arial" w:cs="Arial"/>
        </w:rPr>
        <w:t>-</w:t>
      </w:r>
      <w:r w:rsidRPr="000947B7">
        <w:rPr>
          <w:rFonts w:ascii="Arial" w:hAnsi="Arial" w:cs="Arial"/>
        </w:rPr>
        <w:t>) de que los envasadores deban identificar, en las facturas que emitan a sus clientes, el número de inscripción en el Registro.</w:t>
      </w:r>
    </w:p>
    <w:p w14:paraId="480CD0DD" w14:textId="77777777" w:rsidR="00CD5807" w:rsidRPr="000947B7" w:rsidRDefault="00CD5807" w:rsidP="008413EA">
      <w:pPr>
        <w:ind w:left="708"/>
        <w:rPr>
          <w:rFonts w:ascii="Arial" w:hAnsi="Arial" w:cs="Arial"/>
          <w:b/>
        </w:rPr>
      </w:pPr>
    </w:p>
    <w:p w14:paraId="08F5FF96" w14:textId="77777777" w:rsidR="007E3D8D" w:rsidRDefault="00BB686D" w:rsidP="008413EA">
      <w:pPr>
        <w:spacing w:after="120" w:line="288" w:lineRule="auto"/>
        <w:ind w:left="708"/>
        <w:jc w:val="both"/>
        <w:rPr>
          <w:rFonts w:ascii="Arial" w:hAnsi="Arial" w:cs="Arial"/>
          <w:b/>
          <w:u w:val="single"/>
        </w:rPr>
      </w:pPr>
      <w:r>
        <w:rPr>
          <w:rFonts w:ascii="Arial" w:hAnsi="Arial" w:cs="Arial"/>
        </w:rPr>
        <w:t xml:space="preserve">PROPUESTA: </w:t>
      </w:r>
      <w:r w:rsidR="007E3D8D" w:rsidRPr="000947B7">
        <w:rPr>
          <w:rFonts w:ascii="Arial" w:hAnsi="Arial" w:cs="Arial"/>
          <w:b/>
          <w:u w:val="single"/>
        </w:rPr>
        <w:t xml:space="preserve">representante autorizado </w:t>
      </w:r>
    </w:p>
    <w:p w14:paraId="2EB58068" w14:textId="39FBB906" w:rsidR="00CD5807" w:rsidRPr="007E3D8D" w:rsidRDefault="00CD5807" w:rsidP="008413EA">
      <w:pPr>
        <w:spacing w:after="120" w:line="288" w:lineRule="auto"/>
        <w:ind w:left="708"/>
        <w:jc w:val="both"/>
        <w:rPr>
          <w:rFonts w:ascii="Arial" w:hAnsi="Arial" w:cs="Arial"/>
          <w:b/>
        </w:rPr>
      </w:pPr>
      <w:r w:rsidRPr="007E3D8D">
        <w:rPr>
          <w:rFonts w:ascii="Arial" w:hAnsi="Arial" w:cs="Arial"/>
          <w:b/>
        </w:rPr>
        <w:t>Necesidad de que los responsables de la primera puesta en el mercado nacional español de productos envasados procedentes de otros países (tanto de la UE como terceros países), deban contar con un representante autorizado en España, a efectos del cumplimiento de las obligaciones de RAP derivadas de la normativa de envases.</w:t>
      </w:r>
      <w:r w:rsidR="007E3D8D" w:rsidRPr="007E3D8D">
        <w:rPr>
          <w:rFonts w:ascii="Arial" w:hAnsi="Arial" w:cs="Arial"/>
          <w:b/>
        </w:rPr>
        <w:t xml:space="preserve"> </w:t>
      </w:r>
    </w:p>
    <w:p w14:paraId="040BF29F" w14:textId="77777777" w:rsidR="00CD5807" w:rsidRPr="000947B7" w:rsidRDefault="00CD5807" w:rsidP="008413EA">
      <w:pPr>
        <w:spacing w:before="240"/>
        <w:ind w:left="708"/>
        <w:rPr>
          <w:rFonts w:ascii="Arial" w:hAnsi="Arial" w:cs="Arial"/>
        </w:rPr>
      </w:pPr>
      <w:r w:rsidRPr="000947B7">
        <w:rPr>
          <w:rFonts w:ascii="Arial" w:hAnsi="Arial" w:cs="Arial"/>
        </w:rPr>
        <w:lastRenderedPageBreak/>
        <w:t>Esta medida también está contemplada en el Real Decreto 110/2015, sobre RAEE, con la peculiaridad de que la exigencia viene impuesta por la propia Directiva de AEE.</w:t>
      </w:r>
    </w:p>
    <w:p w14:paraId="59677342" w14:textId="77777777" w:rsidR="00CD5807" w:rsidRPr="000947B7" w:rsidRDefault="00CD5807" w:rsidP="008413EA">
      <w:pPr>
        <w:ind w:left="708"/>
        <w:rPr>
          <w:rFonts w:ascii="Arial" w:hAnsi="Arial" w:cs="Arial"/>
          <w:b/>
        </w:rPr>
      </w:pPr>
    </w:p>
    <w:p w14:paraId="4F82EF6B" w14:textId="0D8B1E74" w:rsidR="00CD5807" w:rsidRDefault="007E3D8D" w:rsidP="008413EA">
      <w:pPr>
        <w:ind w:left="708"/>
        <w:jc w:val="both"/>
        <w:rPr>
          <w:rFonts w:ascii="Arial" w:hAnsi="Arial" w:cs="Arial"/>
        </w:rPr>
      </w:pPr>
      <w:r>
        <w:rPr>
          <w:rFonts w:ascii="Arial" w:hAnsi="Arial" w:cs="Arial"/>
        </w:rPr>
        <w:t xml:space="preserve">PROPUESTA: </w:t>
      </w:r>
      <w:r w:rsidR="00CD5807" w:rsidRPr="000947B7">
        <w:rPr>
          <w:rFonts w:ascii="Arial" w:hAnsi="Arial" w:cs="Arial"/>
          <w:b/>
          <w:u w:val="single"/>
        </w:rPr>
        <w:t>Exigencia de que, en la importación de productos envasados procedentes de países terceros, se acredite, además del cumplimiento de los trámites aduaneros, la inscripción en el Registro  de Productores</w:t>
      </w:r>
      <w:r w:rsidR="00CD5807" w:rsidRPr="000947B7">
        <w:rPr>
          <w:rFonts w:ascii="Arial" w:hAnsi="Arial" w:cs="Arial"/>
        </w:rPr>
        <w:t xml:space="preserve"> de la persona o entidad que tenga la condición de envasador (o de su representante autorizado, de acuerdo con lo indicado en el epígrafe anterior), así como la acreditación de que el envasador está adherido a un sistema de RAP, al que ha declarado los productos objeto de la importación.</w:t>
      </w:r>
    </w:p>
    <w:p w14:paraId="2D1C0895" w14:textId="43DAD787" w:rsidR="002C7A20" w:rsidRDefault="002C7A20" w:rsidP="008413EA">
      <w:pPr>
        <w:ind w:left="708"/>
        <w:jc w:val="both"/>
        <w:rPr>
          <w:rFonts w:asciiTheme="majorHAnsi" w:hAnsiTheme="majorHAnsi"/>
          <w:b/>
        </w:rPr>
      </w:pPr>
    </w:p>
    <w:p w14:paraId="3D8B2518" w14:textId="77777777" w:rsidR="002C7A20" w:rsidRDefault="002C7A20" w:rsidP="008413EA">
      <w:pPr>
        <w:ind w:left="708"/>
        <w:jc w:val="both"/>
        <w:rPr>
          <w:rFonts w:asciiTheme="majorHAnsi" w:hAnsiTheme="majorHAnsi"/>
          <w:b/>
        </w:rPr>
      </w:pPr>
    </w:p>
    <w:p w14:paraId="1A18C8C4" w14:textId="77777777" w:rsidR="002C7A20" w:rsidRPr="00F222BD" w:rsidRDefault="002C7A20" w:rsidP="002C7A20">
      <w:pPr>
        <w:pStyle w:val="Prrafodelista"/>
        <w:numPr>
          <w:ilvl w:val="0"/>
          <w:numId w:val="34"/>
        </w:numPr>
        <w:jc w:val="both"/>
        <w:rPr>
          <w:rFonts w:asciiTheme="majorHAnsi" w:hAnsiTheme="majorHAnsi"/>
          <w:b/>
        </w:rPr>
      </w:pPr>
      <w:r w:rsidRPr="00F222BD">
        <w:rPr>
          <w:rFonts w:asciiTheme="majorHAnsi" w:hAnsiTheme="majorHAnsi"/>
          <w:b/>
        </w:rPr>
        <w:t>COMENTARIO X</w:t>
      </w:r>
    </w:p>
    <w:p w14:paraId="06796F11" w14:textId="570524C4" w:rsidR="002C7A20" w:rsidRDefault="002C7A20" w:rsidP="002C7A20">
      <w:pPr>
        <w:ind w:left="360"/>
        <w:jc w:val="both"/>
        <w:rPr>
          <w:rFonts w:asciiTheme="majorHAnsi" w:hAnsiTheme="majorHAnsi"/>
        </w:rPr>
      </w:pPr>
      <w:r w:rsidRPr="002C7A20">
        <w:rPr>
          <w:rFonts w:asciiTheme="majorHAnsi" w:hAnsiTheme="majorHAnsi"/>
        </w:rPr>
        <w:t>TEXTO PROYECTO DE RD:</w:t>
      </w:r>
    </w:p>
    <w:p w14:paraId="0FC49C0D" w14:textId="77777777" w:rsidR="005919BE" w:rsidRDefault="005919BE" w:rsidP="002C7A20">
      <w:pPr>
        <w:ind w:left="360"/>
        <w:jc w:val="both"/>
        <w:rPr>
          <w:rFonts w:eastAsia="Calibri" w:cs="Calibri"/>
          <w:b/>
          <w:i/>
          <w:iCs/>
        </w:rPr>
      </w:pPr>
    </w:p>
    <w:p w14:paraId="7B606637" w14:textId="2C27D935" w:rsidR="00B2504E" w:rsidRPr="00B2504E" w:rsidRDefault="00B2504E" w:rsidP="002C7A20">
      <w:pPr>
        <w:ind w:left="360"/>
        <w:jc w:val="both"/>
        <w:rPr>
          <w:rFonts w:asciiTheme="majorHAnsi" w:hAnsiTheme="majorHAnsi"/>
          <w:b/>
        </w:rPr>
      </w:pPr>
      <w:r w:rsidRPr="00B2504E">
        <w:rPr>
          <w:rFonts w:eastAsia="Calibri" w:cs="Calibri"/>
          <w:b/>
          <w:i/>
          <w:iCs/>
        </w:rPr>
        <w:t>artículo 19</w:t>
      </w:r>
      <w:r w:rsidRPr="00B2504E">
        <w:rPr>
          <w:rFonts w:eastAsia="Calibri" w:cs="Calibri"/>
          <w:b/>
          <w:i/>
          <w:iCs/>
        </w:rPr>
        <w:t>. 1</w:t>
      </w:r>
      <w:r w:rsidRPr="00B2504E">
        <w:rPr>
          <w:rFonts w:eastAsia="Calibri" w:cs="Calibri"/>
          <w:b/>
          <w:i/>
          <w:iCs/>
        </w:rPr>
        <w:t>:</w:t>
      </w:r>
    </w:p>
    <w:p w14:paraId="0E7C604A" w14:textId="77777777" w:rsidR="00B2504E" w:rsidRPr="00470D42" w:rsidRDefault="00B2504E" w:rsidP="00B2504E">
      <w:pPr>
        <w:ind w:firstLine="708"/>
        <w:jc w:val="both"/>
        <w:rPr>
          <w:rFonts w:eastAsia="Calibri" w:cs="Calibri"/>
          <w:i/>
          <w:iCs/>
        </w:rPr>
      </w:pPr>
      <w:r w:rsidRPr="00470D42">
        <w:rPr>
          <w:rFonts w:eastAsia="Calibri" w:cs="Calibri"/>
        </w:rPr>
        <w:t>“</w:t>
      </w:r>
      <w:r w:rsidRPr="00470D42">
        <w:rPr>
          <w:rFonts w:eastAsia="Calibri" w:cs="Calibri"/>
          <w:i/>
          <w:iCs/>
        </w:rPr>
        <w:t>Tres. Se añade el siguiente párrafo en el apartado 1 del artículo 19:</w:t>
      </w:r>
    </w:p>
    <w:p w14:paraId="54869CB8" w14:textId="77777777" w:rsidR="00B2504E" w:rsidRDefault="00B2504E" w:rsidP="00B2504E">
      <w:pPr>
        <w:ind w:left="708"/>
        <w:jc w:val="both"/>
        <w:rPr>
          <w:rFonts w:eastAsia="Calibri" w:cs="Calibri"/>
          <w:i/>
          <w:iCs/>
        </w:rPr>
      </w:pPr>
    </w:p>
    <w:p w14:paraId="4B3734A1" w14:textId="77777777" w:rsidR="00B2504E" w:rsidRPr="00470D42" w:rsidRDefault="00B2504E" w:rsidP="00B2504E">
      <w:pPr>
        <w:ind w:left="708"/>
        <w:jc w:val="both"/>
        <w:rPr>
          <w:rFonts w:eastAsia="Calibri" w:cs="Calibri"/>
        </w:rPr>
      </w:pPr>
      <w:r w:rsidRPr="00470D42">
        <w:rPr>
          <w:rFonts w:eastAsia="Calibri" w:cs="Calibri"/>
          <w:i/>
          <w:iCs/>
        </w:rPr>
        <w:t>En el caso de que los envases industriales o comerciales sean residuos peligrosos, las obligaciones derivadas de su consideración como residuos peligrosos serán aplicables a partir del momento en que los envases vacíos, después de su uso, sean depositados y puestos a disposición del sistema integrado de gestión en el lugar y forma designados para ello por el sistema.</w:t>
      </w:r>
      <w:r w:rsidRPr="00470D42">
        <w:rPr>
          <w:rFonts w:eastAsia="Calibri" w:cs="Calibri"/>
        </w:rPr>
        <w:t>”</w:t>
      </w:r>
    </w:p>
    <w:p w14:paraId="5A0860F4" w14:textId="77777777" w:rsidR="00B2504E" w:rsidRPr="002C7A20" w:rsidRDefault="00B2504E" w:rsidP="002C7A20">
      <w:pPr>
        <w:ind w:left="360"/>
        <w:jc w:val="both"/>
        <w:rPr>
          <w:rFonts w:asciiTheme="majorHAnsi" w:hAnsiTheme="majorHAnsi"/>
        </w:rPr>
      </w:pPr>
    </w:p>
    <w:p w14:paraId="7EB3AE46" w14:textId="2C8A1A4F" w:rsidR="005919BE" w:rsidRDefault="005919BE" w:rsidP="005919BE">
      <w:pPr>
        <w:jc w:val="both"/>
        <w:rPr>
          <w:rFonts w:eastAsia="Calibri" w:cs="Calibri"/>
        </w:rPr>
      </w:pPr>
      <w:r w:rsidRPr="00470D42">
        <w:rPr>
          <w:rFonts w:eastAsia="Calibri" w:cs="Calibri"/>
        </w:rPr>
        <w:t>Si no interpretamos mal el texto de este nuevo párrafo, a partir de la aprobación de la modificación, los productores de los envases industriales o comerciales que tengan la consideración de residuos peligrosos podrán almacenarlos y transportarlos sin tener que cumplir la vigente normativa que regula este tipo de actividades.</w:t>
      </w:r>
    </w:p>
    <w:p w14:paraId="4920089D" w14:textId="6CF7468D" w:rsidR="005919BE" w:rsidRDefault="005919BE" w:rsidP="005919BE">
      <w:pPr>
        <w:jc w:val="both"/>
        <w:rPr>
          <w:rFonts w:eastAsia="Calibri" w:cs="Calibri"/>
        </w:rPr>
      </w:pPr>
    </w:p>
    <w:p w14:paraId="655A6F0E" w14:textId="24986F40" w:rsidR="005919BE" w:rsidRPr="005919BE" w:rsidRDefault="005919BE" w:rsidP="005919BE">
      <w:pPr>
        <w:jc w:val="both"/>
        <w:rPr>
          <w:rFonts w:eastAsia="Calibri" w:cs="Calibri"/>
          <w:iCs/>
          <w:highlight w:val="yellow"/>
        </w:rPr>
      </w:pPr>
      <w:r w:rsidRPr="005919BE">
        <w:rPr>
          <w:rFonts w:eastAsia="Calibri" w:cs="Calibri"/>
          <w:highlight w:val="yellow"/>
        </w:rPr>
        <w:t>NOTA CEOE (no se incluirá en el borrador): solo lo circunscribe al caso de los envases “</w:t>
      </w:r>
      <w:r w:rsidRPr="005919BE">
        <w:rPr>
          <w:rFonts w:eastAsia="Calibri" w:cs="Calibri"/>
          <w:i/>
          <w:iCs/>
          <w:highlight w:val="yellow"/>
        </w:rPr>
        <w:t>puestos a disposición del sistema integrado de gestión</w:t>
      </w:r>
      <w:r w:rsidRPr="005919BE">
        <w:rPr>
          <w:rFonts w:eastAsia="Calibri" w:cs="Calibri"/>
          <w:i/>
          <w:iCs/>
          <w:highlight w:val="yellow"/>
        </w:rPr>
        <w:t xml:space="preserve">”: </w:t>
      </w:r>
      <w:r w:rsidRPr="005919BE">
        <w:rPr>
          <w:rFonts w:eastAsia="Calibri" w:cs="Calibri"/>
          <w:iCs/>
          <w:highlight w:val="yellow"/>
        </w:rPr>
        <w:t>SIG de carácter voluntario, SEGÚN EL TEXTO DE LA WEB DEL MITECO:</w:t>
      </w:r>
    </w:p>
    <w:p w14:paraId="06F0B110" w14:textId="0E081722" w:rsidR="005919BE" w:rsidRPr="005919BE" w:rsidRDefault="005919BE" w:rsidP="005919BE">
      <w:pPr>
        <w:ind w:firstLine="708"/>
        <w:jc w:val="both"/>
        <w:rPr>
          <w:rFonts w:eastAsia="Calibri" w:cs="Calibri"/>
          <w:i/>
          <w:iCs/>
          <w:highlight w:val="yellow"/>
        </w:rPr>
      </w:pPr>
      <w:r w:rsidRPr="005919BE">
        <w:rPr>
          <w:i/>
          <w:highlight w:val="yellow"/>
        </w:rPr>
        <w:t>las modificaciones introducidas en el RD 782/1998, pretenden:</w:t>
      </w:r>
    </w:p>
    <w:p w14:paraId="2F36D8AD" w14:textId="77777777" w:rsidR="005919BE" w:rsidRPr="005919BE" w:rsidRDefault="005919BE" w:rsidP="005919BE">
      <w:pPr>
        <w:ind w:left="708"/>
        <w:rPr>
          <w:i/>
        </w:rPr>
      </w:pPr>
      <w:r w:rsidRPr="005919BE">
        <w:rPr>
          <w:i/>
          <w:highlight w:val="yellow"/>
        </w:rPr>
        <w:t xml:space="preserve">- revisar el artículo 19 para que, </w:t>
      </w:r>
      <w:r w:rsidRPr="005919BE">
        <w:rPr>
          <w:b/>
          <w:bCs/>
          <w:i/>
          <w:highlight w:val="yellow"/>
        </w:rPr>
        <w:t>en el caso de que se establezca de forma voluntaria un sistema integrado de gestión</w:t>
      </w:r>
      <w:r w:rsidRPr="005919BE">
        <w:rPr>
          <w:i/>
          <w:highlight w:val="yellow"/>
        </w:rPr>
        <w:t xml:space="preserve"> por parte de los envasadores de productos envasados en </w:t>
      </w:r>
      <w:r w:rsidRPr="005919BE">
        <w:rPr>
          <w:b/>
          <w:bCs/>
          <w:i/>
          <w:highlight w:val="yellow"/>
        </w:rPr>
        <w:t>envases comerciales e industriales</w:t>
      </w:r>
      <w:r w:rsidRPr="005919BE">
        <w:rPr>
          <w:i/>
          <w:highlight w:val="yellow"/>
        </w:rPr>
        <w:t>, y cuando estos envases vacíos sean peligrosos, no se aplique al poseedor de dichos envases las disposiciones sobre residuos peligrosos hasta que los entregue en los puntos indicados por el sistema integrado de gestión.</w:t>
      </w:r>
      <w:r w:rsidRPr="005919BE">
        <w:rPr>
          <w:i/>
        </w:rPr>
        <w:t> </w:t>
      </w:r>
    </w:p>
    <w:p w14:paraId="5EC15B4D" w14:textId="77777777" w:rsidR="005919BE" w:rsidRPr="00470D42" w:rsidRDefault="005919BE" w:rsidP="005919BE">
      <w:pPr>
        <w:jc w:val="both"/>
        <w:rPr>
          <w:rFonts w:eastAsia="Calibri" w:cs="Calibri"/>
        </w:rPr>
      </w:pPr>
    </w:p>
    <w:p w14:paraId="61A0D7A0" w14:textId="77777777" w:rsidR="005919BE" w:rsidRDefault="005919BE" w:rsidP="005919BE">
      <w:pPr>
        <w:jc w:val="both"/>
        <w:rPr>
          <w:rFonts w:eastAsia="Calibri" w:cs="Calibri"/>
        </w:rPr>
      </w:pPr>
      <w:r w:rsidRPr="00470D42">
        <w:rPr>
          <w:rFonts w:eastAsia="Calibri" w:cs="Calibri"/>
        </w:rPr>
        <w:t>En primer lugar, el contenido de esta modificación no tiene nada que ver con la pretendida justificación en “</w:t>
      </w:r>
      <w:r w:rsidRPr="00470D42">
        <w:rPr>
          <w:rFonts w:eastAsia="Calibri" w:cs="Calibri"/>
          <w:i/>
          <w:iCs/>
        </w:rPr>
        <w:t>la financiación que perciben las entidades locales</w:t>
      </w:r>
      <w:r w:rsidRPr="00470D42">
        <w:rPr>
          <w:rFonts w:eastAsia="Calibri" w:cs="Calibri"/>
        </w:rPr>
        <w:t xml:space="preserve">”. </w:t>
      </w:r>
    </w:p>
    <w:p w14:paraId="3D4F32FF" w14:textId="5C4B456F" w:rsidR="005919BE" w:rsidRPr="00470D42" w:rsidRDefault="005919BE" w:rsidP="005919BE">
      <w:pPr>
        <w:jc w:val="both"/>
        <w:rPr>
          <w:rFonts w:eastAsia="Calibri" w:cs="Calibri"/>
        </w:rPr>
      </w:pPr>
      <w:r w:rsidRPr="00470D42">
        <w:rPr>
          <w:rFonts w:eastAsia="Calibri" w:cs="Calibri"/>
        </w:rPr>
        <w:t>En segundo</w:t>
      </w:r>
      <w:r>
        <w:rPr>
          <w:rFonts w:eastAsia="Calibri" w:cs="Calibri"/>
        </w:rPr>
        <w:t xml:space="preserve"> lugar</w:t>
      </w:r>
      <w:r w:rsidRPr="00470D42">
        <w:rPr>
          <w:rFonts w:eastAsia="Calibri" w:cs="Calibri"/>
        </w:rPr>
        <w:t>, supone una contradicción</w:t>
      </w:r>
      <w:r>
        <w:rPr>
          <w:rFonts w:eastAsia="Calibri" w:cs="Calibri"/>
        </w:rPr>
        <w:t xml:space="preserve"> </w:t>
      </w:r>
      <w:r w:rsidRPr="00470D42">
        <w:rPr>
          <w:rFonts w:eastAsia="Calibri" w:cs="Calibri"/>
        </w:rPr>
        <w:t xml:space="preserve">de lo establecido en los artículos de la vigente Ley 22/2011, de 28 de julio, de residuos y suelos contaminados, que se citan a continuación, en relación </w:t>
      </w:r>
      <w:r w:rsidRPr="00470D42">
        <w:rPr>
          <w:rFonts w:eastAsia="Calibri" w:cs="Calibri"/>
        </w:rPr>
        <w:lastRenderedPageBreak/>
        <w:t>con las obligaciones de los productores de residuos peligrosos y del régimen de traslado de residuos:</w:t>
      </w:r>
    </w:p>
    <w:p w14:paraId="22642918" w14:textId="77777777" w:rsidR="005919BE" w:rsidRPr="00470D42" w:rsidRDefault="005919BE" w:rsidP="005919BE">
      <w:pPr>
        <w:jc w:val="both"/>
        <w:rPr>
          <w:rFonts w:eastAsia="Calibri" w:cs="Calibri"/>
        </w:rPr>
      </w:pPr>
    </w:p>
    <w:p w14:paraId="778949FE" w14:textId="77777777" w:rsidR="005919BE" w:rsidRPr="00470D42" w:rsidRDefault="005919BE" w:rsidP="005919BE">
      <w:pPr>
        <w:numPr>
          <w:ilvl w:val="0"/>
          <w:numId w:val="35"/>
        </w:numPr>
        <w:jc w:val="both"/>
        <w:rPr>
          <w:rFonts w:eastAsia="Times New Roman" w:cs="Calibri"/>
        </w:rPr>
      </w:pPr>
      <w:r w:rsidRPr="00470D42">
        <w:rPr>
          <w:rFonts w:eastAsia="Times New Roman" w:cs="Calibri"/>
        </w:rPr>
        <w:t>Artículo 17. Obligaciones del productor u otro poseedor inicial relativas a la gestión de sus residuos.</w:t>
      </w:r>
    </w:p>
    <w:p w14:paraId="68E89207" w14:textId="77777777" w:rsidR="005919BE" w:rsidRPr="00470D42" w:rsidRDefault="005919BE" w:rsidP="005919BE">
      <w:pPr>
        <w:numPr>
          <w:ilvl w:val="0"/>
          <w:numId w:val="35"/>
        </w:numPr>
        <w:jc w:val="both"/>
        <w:rPr>
          <w:rFonts w:eastAsia="Times New Roman" w:cs="Calibri"/>
        </w:rPr>
      </w:pPr>
      <w:r w:rsidRPr="00470D42">
        <w:rPr>
          <w:rFonts w:eastAsia="Times New Roman" w:cs="Calibri"/>
        </w:rPr>
        <w:t>Artículo 18. Obligaciones del productor u otro poseedor inicial relativas al almacenamiento, mezcla, envasado y etiquetado de residuos.</w:t>
      </w:r>
    </w:p>
    <w:p w14:paraId="65CC8B2D" w14:textId="156EF3FE" w:rsidR="005919BE" w:rsidRPr="005919BE" w:rsidRDefault="005919BE" w:rsidP="005919BE">
      <w:pPr>
        <w:numPr>
          <w:ilvl w:val="0"/>
          <w:numId w:val="35"/>
        </w:numPr>
        <w:jc w:val="both"/>
        <w:rPr>
          <w:rFonts w:asciiTheme="majorHAnsi" w:hAnsiTheme="majorHAnsi"/>
          <w:b/>
        </w:rPr>
      </w:pPr>
      <w:r w:rsidRPr="00470D42">
        <w:rPr>
          <w:rFonts w:eastAsia="Times New Roman" w:cs="Calibri"/>
        </w:rPr>
        <w:t>Artículo 25. Régimen de los traslados de residuos en el interior del territorio del Estado</w:t>
      </w:r>
    </w:p>
    <w:p w14:paraId="5C9313E4" w14:textId="116EE9A6" w:rsidR="005919BE" w:rsidRDefault="005919BE" w:rsidP="005919BE">
      <w:pPr>
        <w:jc w:val="both"/>
        <w:rPr>
          <w:rFonts w:asciiTheme="majorHAnsi" w:hAnsiTheme="majorHAnsi"/>
          <w:b/>
        </w:rPr>
      </w:pPr>
    </w:p>
    <w:p w14:paraId="67063448" w14:textId="7410AA16" w:rsidR="005919BE" w:rsidRDefault="005919BE" w:rsidP="005919BE">
      <w:pPr>
        <w:jc w:val="both"/>
        <w:rPr>
          <w:rFonts w:asciiTheme="majorHAnsi" w:hAnsiTheme="majorHAnsi"/>
          <w:b/>
        </w:rPr>
      </w:pPr>
    </w:p>
    <w:p w14:paraId="4D8DD33F" w14:textId="605A3BDE" w:rsidR="00B577C1" w:rsidRPr="00470D42" w:rsidRDefault="00B577C1" w:rsidP="00B577C1">
      <w:pPr>
        <w:jc w:val="both"/>
        <w:rPr>
          <w:rFonts w:eastAsia="Calibri" w:cs="Calibri"/>
        </w:rPr>
      </w:pPr>
      <w:r>
        <w:rPr>
          <w:rFonts w:eastAsia="Calibri" w:cs="Calibri"/>
        </w:rPr>
        <w:t>Lo</w:t>
      </w:r>
      <w:r w:rsidRPr="00470D42">
        <w:rPr>
          <w:rFonts w:eastAsia="Calibri" w:cs="Calibri"/>
        </w:rPr>
        <w:t xml:space="preserve"> que se pretende autorizar a estos productores de residuos peligrosos está específicamente tipificado como infracción grave y muy grave en el artículo 46 de la mencionada Ley 22/2011. En efecto, podrán almacenar residuos peligrosos en instalaciones (propias o de terceros, ya que no hay ninguna limitación) y podrán transportarlos (también con medio propios o de terceros) sin ninguna restricción por todo el territorio nacional sin tener que cumplir con lo requerido por la Ley.</w:t>
      </w:r>
      <w:r w:rsidRPr="00AB25CF">
        <w:t xml:space="preserve"> </w:t>
      </w:r>
      <w:r w:rsidRPr="00AB25CF">
        <w:rPr>
          <w:rFonts w:eastAsia="Calibri" w:cs="Calibri"/>
        </w:rPr>
        <w:t>Adicionalmente, el transporte de residuos peligrosos sin que sean considerados como tales, también iría en contra de la normativa ADR.</w:t>
      </w:r>
    </w:p>
    <w:p w14:paraId="3E59F877" w14:textId="74C5BAE8" w:rsidR="005919BE" w:rsidRDefault="005919BE" w:rsidP="005919BE">
      <w:pPr>
        <w:jc w:val="both"/>
        <w:rPr>
          <w:rFonts w:asciiTheme="majorHAnsi" w:hAnsiTheme="majorHAnsi"/>
          <w:b/>
        </w:rPr>
      </w:pPr>
    </w:p>
    <w:p w14:paraId="60A059A1" w14:textId="4E256F1F" w:rsidR="00F45CCA" w:rsidRDefault="00F45CCA" w:rsidP="005919BE">
      <w:pPr>
        <w:jc w:val="both"/>
        <w:rPr>
          <w:rFonts w:eastAsia="Calibri" w:cs="Calibri"/>
        </w:rPr>
      </w:pPr>
      <w:r w:rsidRPr="00470D42">
        <w:rPr>
          <w:rFonts w:eastAsia="Calibri" w:cs="Calibri"/>
        </w:rPr>
        <w:t>Por ello, supone una flagrante discriminación respecto a lo requerido a las actuales empresas gestoras de residuos peligrosos, a las que se exige que todos sus almacenamientos dispongan de las autorizaciones requeridas por la Ley (obtenidas en la mayoría de los casos tras dilatados y costosos procesos administrativos</w:t>
      </w:r>
      <w:r>
        <w:rPr>
          <w:rFonts w:eastAsia="Calibri" w:cs="Calibri"/>
        </w:rPr>
        <w:t>).</w:t>
      </w:r>
    </w:p>
    <w:p w14:paraId="0D24DD45" w14:textId="2AE25452" w:rsidR="00F45CCA" w:rsidRDefault="00F45CCA" w:rsidP="005919BE">
      <w:pPr>
        <w:jc w:val="both"/>
        <w:rPr>
          <w:rFonts w:asciiTheme="majorHAnsi" w:hAnsiTheme="majorHAnsi"/>
          <w:b/>
        </w:rPr>
      </w:pPr>
    </w:p>
    <w:p w14:paraId="47C9A5E8" w14:textId="5A2AE022" w:rsidR="00F45CCA" w:rsidRDefault="00F45CCA" w:rsidP="005919BE">
      <w:pPr>
        <w:jc w:val="both"/>
        <w:rPr>
          <w:rFonts w:eastAsia="Calibri" w:cs="Calibri"/>
        </w:rPr>
      </w:pPr>
      <w:r w:rsidRPr="00470D42">
        <w:rPr>
          <w:rFonts w:eastAsia="Calibri" w:cs="Calibri"/>
        </w:rPr>
        <w:t xml:space="preserve">Por último, la exclusión de las actuales obligaciones legales que se pretende establecer para los productores de residuos </w:t>
      </w:r>
      <w:proofErr w:type="gramStart"/>
      <w:r w:rsidRPr="00470D42">
        <w:rPr>
          <w:rFonts w:eastAsia="Calibri" w:cs="Calibri"/>
        </w:rPr>
        <w:t>peligrosos,</w:t>
      </w:r>
      <w:proofErr w:type="gramEnd"/>
      <w:r w:rsidRPr="00470D42">
        <w:rPr>
          <w:rFonts w:eastAsia="Calibri" w:cs="Calibri"/>
        </w:rPr>
        <w:t xml:space="preserve"> sorprende todavía más cuando se tiene en cuenta que, en paralelo con este trámite de consulta pública, el MITECO tiene abierto otro para la modificación del Real Decreto de traslado de residuos. En el mismo, se propone aumentar la vigilancia y la carga burocrática para los traslados de residuos domésticos, que son residuos no peligrosos</w:t>
      </w:r>
      <w:r>
        <w:rPr>
          <w:rFonts w:eastAsia="Calibri" w:cs="Calibri"/>
        </w:rPr>
        <w:t xml:space="preserve">. </w:t>
      </w:r>
    </w:p>
    <w:p w14:paraId="39E55BEF" w14:textId="77777777" w:rsidR="006428D6" w:rsidRDefault="006428D6" w:rsidP="005919BE">
      <w:pPr>
        <w:jc w:val="both"/>
        <w:rPr>
          <w:rFonts w:eastAsia="Calibri" w:cs="Calibri"/>
        </w:rPr>
      </w:pPr>
    </w:p>
    <w:p w14:paraId="43A332D9" w14:textId="66E291CF" w:rsidR="006428D6" w:rsidRDefault="006428D6" w:rsidP="005919BE">
      <w:pPr>
        <w:jc w:val="both"/>
        <w:rPr>
          <w:rFonts w:asciiTheme="majorHAnsi" w:hAnsiTheme="majorHAnsi"/>
          <w:b/>
        </w:rPr>
      </w:pPr>
    </w:p>
    <w:p w14:paraId="3E7B4E95" w14:textId="194473C2" w:rsidR="006428D6" w:rsidRPr="00F222BD" w:rsidRDefault="006428D6" w:rsidP="006428D6">
      <w:pPr>
        <w:pStyle w:val="Prrafodelista"/>
        <w:numPr>
          <w:ilvl w:val="0"/>
          <w:numId w:val="34"/>
        </w:numPr>
        <w:jc w:val="both"/>
        <w:rPr>
          <w:rFonts w:asciiTheme="majorHAnsi" w:hAnsiTheme="majorHAnsi"/>
          <w:b/>
        </w:rPr>
      </w:pPr>
      <w:r w:rsidRPr="00F222BD">
        <w:rPr>
          <w:rFonts w:asciiTheme="majorHAnsi" w:hAnsiTheme="majorHAnsi"/>
          <w:b/>
        </w:rPr>
        <w:t>COMENTARIO X</w:t>
      </w:r>
      <w:r w:rsidR="009B68B5">
        <w:rPr>
          <w:rFonts w:asciiTheme="majorHAnsi" w:hAnsiTheme="majorHAnsi"/>
          <w:b/>
        </w:rPr>
        <w:t>. C</w:t>
      </w:r>
      <w:r w:rsidR="009B68B5" w:rsidRPr="009B68B5">
        <w:rPr>
          <w:rFonts w:asciiTheme="majorHAnsi" w:hAnsiTheme="majorHAnsi"/>
          <w:b/>
        </w:rPr>
        <w:t>ajas de poliestireno expandido y otros materiales para transporte de pescado</w:t>
      </w:r>
    </w:p>
    <w:p w14:paraId="1D00B062" w14:textId="084B4D2A" w:rsidR="006428D6" w:rsidRPr="002B6260" w:rsidRDefault="002B6260" w:rsidP="005919BE">
      <w:pPr>
        <w:jc w:val="both"/>
        <w:rPr>
          <w:rFonts w:asciiTheme="majorHAnsi" w:hAnsiTheme="majorHAnsi"/>
        </w:rPr>
      </w:pPr>
      <w:r w:rsidRPr="002B6260">
        <w:rPr>
          <w:rFonts w:asciiTheme="majorHAnsi" w:hAnsiTheme="majorHAnsi"/>
        </w:rPr>
        <w:t>TEXTO DE LA LEY 11/1997</w:t>
      </w:r>
      <w:r w:rsidR="00B809A2">
        <w:rPr>
          <w:rFonts w:asciiTheme="majorHAnsi" w:hAnsiTheme="majorHAnsi"/>
        </w:rPr>
        <w:t>:</w:t>
      </w:r>
    </w:p>
    <w:p w14:paraId="66B626F2" w14:textId="750102C1" w:rsidR="002B6260" w:rsidRDefault="002B6260" w:rsidP="005919BE">
      <w:pPr>
        <w:jc w:val="both"/>
        <w:rPr>
          <w:rFonts w:asciiTheme="majorHAnsi" w:hAnsiTheme="majorHAnsi"/>
          <w:b/>
        </w:rPr>
      </w:pPr>
    </w:p>
    <w:p w14:paraId="5BB8CE02" w14:textId="429925C8" w:rsidR="002B6260" w:rsidRDefault="002B6260" w:rsidP="002B6260">
      <w:pPr>
        <w:jc w:val="both"/>
        <w:rPr>
          <w:rFonts w:cs="Calibri"/>
          <w:color w:val="000000"/>
          <w:sz w:val="23"/>
          <w:szCs w:val="23"/>
        </w:rPr>
      </w:pPr>
      <w:r>
        <w:rPr>
          <w:rFonts w:cs="Calibri"/>
          <w:color w:val="000000"/>
          <w:sz w:val="24"/>
          <w:szCs w:val="24"/>
        </w:rPr>
        <w:t>D</w:t>
      </w:r>
      <w:r w:rsidRPr="002B6260">
        <w:rPr>
          <w:rFonts w:cs="Calibri"/>
          <w:color w:val="000000"/>
          <w:sz w:val="23"/>
          <w:szCs w:val="23"/>
        </w:rPr>
        <w:t>isposición adicional primera</w:t>
      </w:r>
      <w:r>
        <w:rPr>
          <w:rFonts w:cs="Calibri"/>
          <w:color w:val="000000"/>
          <w:sz w:val="23"/>
          <w:szCs w:val="23"/>
        </w:rPr>
        <w:t>:</w:t>
      </w:r>
    </w:p>
    <w:p w14:paraId="42D39515" w14:textId="4BDC0020" w:rsidR="002B6260" w:rsidRDefault="002B6260" w:rsidP="002B6260">
      <w:pPr>
        <w:jc w:val="both"/>
        <w:rPr>
          <w:rFonts w:cs="Calibri"/>
          <w:i/>
          <w:color w:val="000000"/>
          <w:sz w:val="23"/>
          <w:szCs w:val="23"/>
        </w:rPr>
      </w:pPr>
      <w:r w:rsidRPr="002B6260">
        <w:rPr>
          <w:rFonts w:cs="Calibri"/>
          <w:i/>
          <w:color w:val="000000"/>
          <w:sz w:val="23"/>
          <w:szCs w:val="23"/>
        </w:rPr>
        <w:t xml:space="preserve"> </w:t>
      </w:r>
      <w:proofErr w:type="gramStart"/>
      <w:r w:rsidRPr="002B6260">
        <w:rPr>
          <w:rFonts w:cs="Calibri"/>
          <w:i/>
          <w:color w:val="000000"/>
          <w:sz w:val="23"/>
          <w:szCs w:val="23"/>
        </w:rPr>
        <w:t>“….</w:t>
      </w:r>
      <w:proofErr w:type="gramEnd"/>
      <w:r w:rsidRPr="002B6260">
        <w:rPr>
          <w:rFonts w:cs="Calibri"/>
          <w:i/>
          <w:color w:val="000000"/>
          <w:sz w:val="23"/>
          <w:szCs w:val="23"/>
        </w:rPr>
        <w:t xml:space="preserve">Cuando estos envases pasen a ser considerados como residuos, </w:t>
      </w:r>
      <w:r w:rsidRPr="002B6260">
        <w:rPr>
          <w:rFonts w:cs="Calibri"/>
          <w:b/>
          <w:i/>
          <w:color w:val="000000"/>
          <w:sz w:val="23"/>
          <w:szCs w:val="23"/>
        </w:rPr>
        <w:t>sus poseedores</w:t>
      </w:r>
      <w:r w:rsidRPr="002B6260">
        <w:rPr>
          <w:rFonts w:cs="Calibri"/>
          <w:i/>
          <w:color w:val="000000"/>
          <w:sz w:val="23"/>
          <w:szCs w:val="23"/>
        </w:rPr>
        <w:t xml:space="preserve"> estarán obligados a entregarlos de acuerdo con lo establecido en el artículo 12….”.</w:t>
      </w:r>
    </w:p>
    <w:p w14:paraId="6B746C82" w14:textId="77777777" w:rsidR="00B809A2" w:rsidRPr="00B809A2" w:rsidRDefault="00B809A2" w:rsidP="00B809A2">
      <w:pPr>
        <w:autoSpaceDE w:val="0"/>
        <w:autoSpaceDN w:val="0"/>
        <w:adjustRightInd w:val="0"/>
        <w:rPr>
          <w:rFonts w:cs="Calibri"/>
          <w:color w:val="000000"/>
          <w:sz w:val="24"/>
          <w:szCs w:val="24"/>
        </w:rPr>
      </w:pPr>
    </w:p>
    <w:p w14:paraId="46BA6B04" w14:textId="555EEE19" w:rsidR="00B809A2" w:rsidRDefault="00B809A2" w:rsidP="00B809A2">
      <w:pPr>
        <w:jc w:val="both"/>
        <w:rPr>
          <w:rFonts w:cs="Calibri"/>
          <w:color w:val="000000"/>
          <w:sz w:val="23"/>
          <w:szCs w:val="23"/>
        </w:rPr>
      </w:pPr>
      <w:r>
        <w:rPr>
          <w:rFonts w:cs="Calibri"/>
          <w:color w:val="000000"/>
          <w:sz w:val="24"/>
          <w:szCs w:val="24"/>
        </w:rPr>
        <w:t>A</w:t>
      </w:r>
      <w:r w:rsidRPr="00B809A2">
        <w:rPr>
          <w:rFonts w:cs="Calibri"/>
          <w:color w:val="000000"/>
          <w:sz w:val="23"/>
          <w:szCs w:val="23"/>
        </w:rPr>
        <w:t xml:space="preserve">rtículo 6.2 </w:t>
      </w:r>
    </w:p>
    <w:p w14:paraId="51FDAA7C" w14:textId="35E10A20" w:rsidR="00B809A2" w:rsidRDefault="00B809A2" w:rsidP="00B809A2">
      <w:pPr>
        <w:jc w:val="both"/>
        <w:rPr>
          <w:rFonts w:cs="Calibri"/>
          <w:color w:val="000000"/>
          <w:sz w:val="23"/>
          <w:szCs w:val="23"/>
        </w:rPr>
      </w:pPr>
      <w:r w:rsidRPr="00B809A2">
        <w:rPr>
          <w:rFonts w:cs="Calibri"/>
          <w:color w:val="000000"/>
          <w:sz w:val="23"/>
          <w:szCs w:val="23"/>
        </w:rPr>
        <w:t xml:space="preserve">se establece que el </w:t>
      </w:r>
      <w:r w:rsidRPr="00B809A2">
        <w:rPr>
          <w:rFonts w:cs="Calibri"/>
          <w:b/>
          <w:color w:val="000000"/>
          <w:sz w:val="23"/>
          <w:szCs w:val="23"/>
        </w:rPr>
        <w:t>poseedor final</w:t>
      </w:r>
      <w:r w:rsidRPr="00B809A2">
        <w:rPr>
          <w:rFonts w:cs="Calibri"/>
          <w:color w:val="000000"/>
          <w:sz w:val="23"/>
          <w:szCs w:val="23"/>
        </w:rPr>
        <w:t xml:space="preserve"> de los residuos de envases será el que deba entregarlos en conforme al procedimiento del artículo 12.</w:t>
      </w:r>
    </w:p>
    <w:p w14:paraId="154E4DB0" w14:textId="7807072A" w:rsidR="00B809A2" w:rsidRDefault="00B809A2" w:rsidP="00B809A2">
      <w:pPr>
        <w:jc w:val="both"/>
        <w:rPr>
          <w:rFonts w:asciiTheme="majorHAnsi" w:hAnsiTheme="majorHAnsi"/>
          <w:b/>
          <w:i/>
        </w:rPr>
      </w:pPr>
    </w:p>
    <w:p w14:paraId="40AAD93C" w14:textId="72198827" w:rsidR="00B809A2" w:rsidRDefault="00B809A2" w:rsidP="00B809A2">
      <w:pPr>
        <w:jc w:val="both"/>
        <w:rPr>
          <w:rFonts w:asciiTheme="majorHAnsi" w:hAnsiTheme="majorHAnsi"/>
          <w:b/>
          <w:i/>
        </w:rPr>
      </w:pPr>
    </w:p>
    <w:p w14:paraId="3BBD8A11" w14:textId="77777777" w:rsidR="009B68B5" w:rsidRPr="009B68B5" w:rsidRDefault="009B68B5" w:rsidP="009B68B5">
      <w:pPr>
        <w:autoSpaceDE w:val="0"/>
        <w:autoSpaceDN w:val="0"/>
        <w:adjustRightInd w:val="0"/>
        <w:rPr>
          <w:rFonts w:cs="Calibri"/>
          <w:color w:val="000000"/>
          <w:sz w:val="24"/>
          <w:szCs w:val="24"/>
        </w:rPr>
      </w:pPr>
    </w:p>
    <w:p w14:paraId="58894697" w14:textId="6F6B9BD0" w:rsidR="009B68B5" w:rsidRDefault="003A0826" w:rsidP="009B68B5">
      <w:pPr>
        <w:jc w:val="both"/>
        <w:rPr>
          <w:rFonts w:cs="Calibri"/>
          <w:color w:val="000000"/>
          <w:sz w:val="23"/>
          <w:szCs w:val="23"/>
        </w:rPr>
      </w:pPr>
      <w:r>
        <w:rPr>
          <w:rFonts w:cs="Calibri"/>
          <w:color w:val="000000"/>
          <w:sz w:val="24"/>
          <w:szCs w:val="24"/>
        </w:rPr>
        <w:t>L</w:t>
      </w:r>
      <w:bookmarkStart w:id="0" w:name="_GoBack"/>
      <w:bookmarkEnd w:id="0"/>
      <w:r w:rsidR="009B68B5" w:rsidRPr="009B68B5">
        <w:rPr>
          <w:rFonts w:cs="Calibri"/>
          <w:color w:val="000000"/>
          <w:sz w:val="23"/>
          <w:szCs w:val="23"/>
        </w:rPr>
        <w:t>as cajas de poliestireno expandido y otros materiales para transporte de pescado. Se trata de envases comerciales puestos en el mercado por armadores y productores para la venta de los productos y a los cuales una vez que se desprenden de ellos no asumen responsabilidad ninguna por el futuro residuo que se generará. Es más, la disposición adicional les exonera de cualquier responsabilidad ya que traslada la responsabilidad de la gestión de los envases al receptor, luego es el poseedor final de los envases, el que está obligado a entregarlos para su gestión, sufragando los correspondientes costes.</w:t>
      </w:r>
    </w:p>
    <w:p w14:paraId="3737AD47" w14:textId="6DFF520F" w:rsidR="009B68B5" w:rsidRDefault="009B68B5" w:rsidP="009B68B5">
      <w:pPr>
        <w:jc w:val="both"/>
        <w:rPr>
          <w:rFonts w:asciiTheme="majorHAnsi" w:hAnsiTheme="majorHAnsi"/>
          <w:b/>
          <w:i/>
        </w:rPr>
      </w:pPr>
    </w:p>
    <w:p w14:paraId="6BAEE9C8" w14:textId="77777777" w:rsidR="009B68B5" w:rsidRPr="009B68B5" w:rsidRDefault="009B68B5" w:rsidP="009B68B5">
      <w:pPr>
        <w:autoSpaceDE w:val="0"/>
        <w:autoSpaceDN w:val="0"/>
        <w:adjustRightInd w:val="0"/>
        <w:rPr>
          <w:rFonts w:cs="Calibri"/>
          <w:color w:val="000000"/>
          <w:sz w:val="24"/>
          <w:szCs w:val="24"/>
        </w:rPr>
      </w:pPr>
    </w:p>
    <w:p w14:paraId="76FBFE69" w14:textId="1643F3EB" w:rsidR="009B68B5" w:rsidRDefault="009B68B5" w:rsidP="009B68B5">
      <w:pPr>
        <w:autoSpaceDE w:val="0"/>
        <w:autoSpaceDN w:val="0"/>
        <w:adjustRightInd w:val="0"/>
        <w:rPr>
          <w:rFonts w:cs="Calibri"/>
          <w:color w:val="000000"/>
          <w:sz w:val="23"/>
          <w:szCs w:val="23"/>
        </w:rPr>
      </w:pPr>
      <w:r>
        <w:rPr>
          <w:rFonts w:cs="Calibri"/>
          <w:color w:val="000000"/>
          <w:sz w:val="24"/>
          <w:szCs w:val="24"/>
        </w:rPr>
        <w:t>Estos poseedores</w:t>
      </w:r>
      <w:r w:rsidRPr="009B68B5">
        <w:rPr>
          <w:rFonts w:cs="Calibri"/>
          <w:color w:val="000000"/>
          <w:sz w:val="24"/>
          <w:szCs w:val="24"/>
        </w:rPr>
        <w:t xml:space="preserve"> </w:t>
      </w:r>
      <w:r w:rsidRPr="009B68B5">
        <w:rPr>
          <w:rFonts w:cs="Calibri"/>
          <w:color w:val="000000"/>
          <w:sz w:val="23"/>
          <w:szCs w:val="23"/>
        </w:rPr>
        <w:t xml:space="preserve">ya asumen la gestión de residuos por los envases que ellos ponen en el mercado tales como bolsas, barquetas, bandejas </w:t>
      </w:r>
      <w:proofErr w:type="spellStart"/>
      <w:r w:rsidRPr="009B68B5">
        <w:rPr>
          <w:rFonts w:cs="Calibri"/>
          <w:color w:val="000000"/>
          <w:sz w:val="23"/>
          <w:szCs w:val="23"/>
        </w:rPr>
        <w:t>etc</w:t>
      </w:r>
      <w:proofErr w:type="spellEnd"/>
      <w:r w:rsidRPr="009B68B5">
        <w:rPr>
          <w:rFonts w:cs="Calibri"/>
          <w:color w:val="000000"/>
          <w:sz w:val="23"/>
          <w:szCs w:val="23"/>
        </w:rPr>
        <w:t xml:space="preserve">… y para los que contribuyen con su cuota al sistema integrado de gestión (SIG) gestionado por </w:t>
      </w:r>
      <w:proofErr w:type="spellStart"/>
      <w:r w:rsidRPr="009B68B5">
        <w:rPr>
          <w:rFonts w:cs="Calibri"/>
          <w:color w:val="000000"/>
          <w:sz w:val="23"/>
          <w:szCs w:val="23"/>
        </w:rPr>
        <w:t>Ecoembes</w:t>
      </w:r>
      <w:proofErr w:type="spellEnd"/>
      <w:r w:rsidRPr="009B68B5">
        <w:rPr>
          <w:rFonts w:cs="Calibri"/>
          <w:color w:val="000000"/>
          <w:sz w:val="23"/>
          <w:szCs w:val="23"/>
        </w:rPr>
        <w:t>. Hacerles responsables de los residuos puestos por otros en el mercado supone un mayor compromiso tanto económico por la contratación de los referidos servicios; como personal ya que supone una gestión casi imposible puesto que los horarios de los que disponen para depositarlos suelen coincidir con los horarios de apertura de sus establecimientos. Esta regulación no puede seguir aceptándose y mucho menos sin que los primeros responsables de la cadena asuman ningún coste ni compromiso por la generación y puesta en el mercado de residuos.</w:t>
      </w:r>
    </w:p>
    <w:p w14:paraId="47F140C2" w14:textId="0D4E29C5" w:rsidR="009B68B5" w:rsidRDefault="009B68B5" w:rsidP="009B68B5">
      <w:pPr>
        <w:autoSpaceDE w:val="0"/>
        <w:autoSpaceDN w:val="0"/>
        <w:adjustRightInd w:val="0"/>
        <w:rPr>
          <w:rFonts w:asciiTheme="majorHAnsi" w:hAnsiTheme="majorHAnsi"/>
          <w:b/>
          <w:i/>
        </w:rPr>
      </w:pPr>
    </w:p>
    <w:p w14:paraId="5A3E796E" w14:textId="31A5EFEF" w:rsidR="009B68B5" w:rsidRDefault="009B68B5" w:rsidP="009B68B5">
      <w:pPr>
        <w:autoSpaceDE w:val="0"/>
        <w:autoSpaceDN w:val="0"/>
        <w:adjustRightInd w:val="0"/>
        <w:rPr>
          <w:rFonts w:cs="Calibri"/>
          <w:color w:val="000000"/>
          <w:sz w:val="23"/>
          <w:szCs w:val="23"/>
        </w:rPr>
      </w:pPr>
      <w:r w:rsidRPr="009B68B5">
        <w:rPr>
          <w:rFonts w:cs="Calibri"/>
          <w:color w:val="000000"/>
          <w:sz w:val="23"/>
          <w:szCs w:val="23"/>
        </w:rPr>
        <w:t xml:space="preserve">Todos </w:t>
      </w:r>
      <w:r>
        <w:rPr>
          <w:rFonts w:cs="Calibri"/>
          <w:color w:val="000000"/>
          <w:sz w:val="23"/>
          <w:szCs w:val="23"/>
        </w:rPr>
        <w:t>los</w:t>
      </w:r>
      <w:r w:rsidRPr="009B68B5">
        <w:rPr>
          <w:rFonts w:cs="Calibri"/>
          <w:color w:val="000000"/>
          <w:sz w:val="23"/>
          <w:szCs w:val="23"/>
        </w:rPr>
        <w:t xml:space="preserve"> principios </w:t>
      </w:r>
      <w:r>
        <w:rPr>
          <w:rFonts w:cs="Calibri"/>
          <w:color w:val="000000"/>
          <w:sz w:val="23"/>
          <w:szCs w:val="23"/>
        </w:rPr>
        <w:t xml:space="preserve">en los que se basa la responsabilidad ampliada del productor </w:t>
      </w:r>
      <w:r w:rsidRPr="009B68B5">
        <w:rPr>
          <w:rFonts w:cs="Calibri"/>
          <w:color w:val="000000"/>
          <w:sz w:val="23"/>
          <w:szCs w:val="23"/>
        </w:rPr>
        <w:t xml:space="preserve">no se llevan a la práctica puesto que es el último eslabón de la cadena el encargado gestionar y asumir de los residuos cuando han finalizado su vida útil. Para cumplir con este principio deberían ser los productores los que asuman la responsabilidad y costes relacionados por la puesta en el mercado de estos envases que acaban siendo residuos, sin trasladar ésta a los poseedores finales tal y como se establece en la disposición adicional primera. </w:t>
      </w:r>
    </w:p>
    <w:p w14:paraId="12706DE1" w14:textId="77777777" w:rsidR="009B68B5" w:rsidRPr="009B68B5" w:rsidRDefault="009B68B5" w:rsidP="009B68B5">
      <w:pPr>
        <w:autoSpaceDE w:val="0"/>
        <w:autoSpaceDN w:val="0"/>
        <w:adjustRightInd w:val="0"/>
        <w:rPr>
          <w:rFonts w:cs="Calibri"/>
          <w:color w:val="000000"/>
          <w:sz w:val="23"/>
          <w:szCs w:val="23"/>
        </w:rPr>
      </w:pPr>
    </w:p>
    <w:p w14:paraId="0EEC9ADF" w14:textId="77777777" w:rsidR="009B68B5" w:rsidRPr="009B68B5" w:rsidRDefault="009B68B5" w:rsidP="009B68B5">
      <w:pPr>
        <w:autoSpaceDE w:val="0"/>
        <w:autoSpaceDN w:val="0"/>
        <w:adjustRightInd w:val="0"/>
        <w:rPr>
          <w:rFonts w:cs="Calibri"/>
          <w:b/>
          <w:color w:val="000000"/>
          <w:sz w:val="23"/>
          <w:szCs w:val="23"/>
        </w:rPr>
      </w:pPr>
      <w:r w:rsidRPr="009B68B5">
        <w:rPr>
          <w:rFonts w:cs="Calibri"/>
          <w:b/>
          <w:color w:val="000000"/>
          <w:sz w:val="23"/>
          <w:szCs w:val="23"/>
        </w:rPr>
        <w:t>PROPUESTA</w:t>
      </w:r>
    </w:p>
    <w:p w14:paraId="0AA53580" w14:textId="544CE126" w:rsidR="009B68B5" w:rsidRPr="002B6260" w:rsidRDefault="009B68B5" w:rsidP="009B68B5">
      <w:pPr>
        <w:autoSpaceDE w:val="0"/>
        <w:autoSpaceDN w:val="0"/>
        <w:adjustRightInd w:val="0"/>
        <w:rPr>
          <w:rFonts w:asciiTheme="majorHAnsi" w:hAnsiTheme="majorHAnsi"/>
          <w:b/>
          <w:i/>
        </w:rPr>
      </w:pPr>
      <w:r w:rsidRPr="009B68B5">
        <w:rPr>
          <w:rFonts w:cs="Calibri"/>
          <w:color w:val="000000"/>
          <w:sz w:val="23"/>
          <w:szCs w:val="23"/>
        </w:rPr>
        <w:t xml:space="preserve">Por todo ello, </w:t>
      </w:r>
      <w:r w:rsidRPr="009B68B5">
        <w:rPr>
          <w:rFonts w:cs="Calibri"/>
          <w:b/>
          <w:color w:val="000000"/>
          <w:sz w:val="23"/>
          <w:szCs w:val="23"/>
        </w:rPr>
        <w:t>solicitamos la modificación de la disposición adicional primera</w:t>
      </w:r>
      <w:r w:rsidRPr="009B68B5">
        <w:rPr>
          <w:rFonts w:cs="Calibri"/>
          <w:color w:val="000000"/>
          <w:sz w:val="23"/>
          <w:szCs w:val="23"/>
        </w:rPr>
        <w:t xml:space="preserve"> adecuando la responsabilidad por la puesta en el mercado </w:t>
      </w:r>
      <w:r w:rsidRPr="009B68B5">
        <w:rPr>
          <w:rFonts w:cs="Calibri"/>
          <w:b/>
          <w:color w:val="000000"/>
          <w:sz w:val="23"/>
          <w:szCs w:val="23"/>
        </w:rPr>
        <w:t>de este tipo de productos</w:t>
      </w:r>
      <w:r>
        <w:rPr>
          <w:rFonts w:cs="Calibri"/>
          <w:b/>
          <w:color w:val="000000"/>
          <w:sz w:val="23"/>
          <w:szCs w:val="23"/>
        </w:rPr>
        <w:t xml:space="preserve"> (</w:t>
      </w:r>
      <w:r>
        <w:rPr>
          <w:rFonts w:asciiTheme="majorHAnsi" w:hAnsiTheme="majorHAnsi"/>
          <w:b/>
        </w:rPr>
        <w:t>C</w:t>
      </w:r>
      <w:r w:rsidRPr="009B68B5">
        <w:rPr>
          <w:rFonts w:asciiTheme="majorHAnsi" w:hAnsiTheme="majorHAnsi"/>
          <w:b/>
        </w:rPr>
        <w:t>ajas de poliestireno expandido y otros materiales para transporte de pescado</w:t>
      </w:r>
      <w:r>
        <w:rPr>
          <w:rFonts w:asciiTheme="majorHAnsi" w:hAnsiTheme="majorHAnsi"/>
          <w:b/>
        </w:rPr>
        <w:t>)</w:t>
      </w:r>
      <w:r w:rsidRPr="009B68B5">
        <w:rPr>
          <w:rFonts w:cs="Calibri"/>
          <w:color w:val="000000"/>
          <w:sz w:val="23"/>
          <w:szCs w:val="23"/>
        </w:rPr>
        <w:t xml:space="preserve"> a todas las normativas vigentes que regulan la gestión de residuos, repartiendo las responsabilidades en todos los puntos de la cadena y no dejar así, toda la responsabilidad a los poseedores finales tras la venta de los productos contenidos en los citados envases.</w:t>
      </w:r>
    </w:p>
    <w:sectPr w:rsidR="009B68B5" w:rsidRPr="002B6260" w:rsidSect="003D7ACB">
      <w:headerReference w:type="default" r:id="rId11"/>
      <w:footerReference w:type="default" r:id="rId12"/>
      <w:headerReference w:type="first" r:id="rId13"/>
      <w:pgSz w:w="11900" w:h="16840"/>
      <w:pgMar w:top="2268" w:right="1701" w:bottom="2410"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8EBAD" w14:textId="77777777" w:rsidR="00951300" w:rsidRDefault="00951300" w:rsidP="000E753C">
      <w:r>
        <w:separator/>
      </w:r>
    </w:p>
  </w:endnote>
  <w:endnote w:type="continuationSeparator" w:id="0">
    <w:p w14:paraId="0BF190F8" w14:textId="77777777" w:rsidR="00951300" w:rsidRDefault="00951300" w:rsidP="000E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MinchoB">
    <w:altName w:val="MS PMincho"/>
    <w:panose1 w:val="00000000000000000000"/>
    <w:charset w:val="8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HGGothicM">
    <w:altName w:val="HGｺﾞｼｯｸM"/>
    <w:panose1 w:val="00000000000000000000"/>
    <w:charset w:val="80"/>
    <w:family w:val="roman"/>
    <w:notTrueType/>
    <w:pitch w:val="default"/>
  </w:font>
  <w:font w:name="Lucida Grande">
    <w:altName w:val="Times New Roman"/>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33741" w14:textId="77777777" w:rsidR="00F61858" w:rsidRDefault="0018139E">
    <w:pPr>
      <w:pStyle w:val="Piedepgina"/>
    </w:pPr>
    <w:r w:rsidRPr="00846497">
      <w:rPr>
        <w:noProof/>
      </w:rPr>
      <mc:AlternateContent>
        <mc:Choice Requires="wps">
          <w:drawing>
            <wp:anchor distT="0" distB="0" distL="114300" distR="114300" simplePos="0" relativeHeight="251665408" behindDoc="0" locked="0" layoutInCell="1" allowOverlap="1" wp14:anchorId="4EEC6562" wp14:editId="5DFA3CE9">
              <wp:simplePos x="0" y="0"/>
              <wp:positionH relativeFrom="column">
                <wp:posOffset>5676900</wp:posOffset>
              </wp:positionH>
              <wp:positionV relativeFrom="paragraph">
                <wp:posOffset>98425</wp:posOffset>
              </wp:positionV>
              <wp:extent cx="615950" cy="316865"/>
              <wp:effectExtent l="0" t="0" r="0" b="698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316865"/>
                      </a:xfrm>
                      <a:prstGeom prst="rect">
                        <a:avLst/>
                      </a:prstGeom>
                      <a:solidFill>
                        <a:srgbClr val="FFFFFF"/>
                      </a:solidFill>
                      <a:ln w="9525">
                        <a:noFill/>
                        <a:miter lim="800000"/>
                        <a:headEnd/>
                        <a:tailEnd/>
                      </a:ln>
                    </wps:spPr>
                    <wps:txbx>
                      <w:txbxContent>
                        <w:sdt>
                          <w:sdtPr>
                            <w:id w:val="-1179584836"/>
                            <w:docPartObj>
                              <w:docPartGallery w:val="Page Numbers (Bottom of Page)"/>
                              <w:docPartUnique/>
                            </w:docPartObj>
                          </w:sdtPr>
                          <w:sdtEndPr>
                            <w:rPr>
                              <w:sz w:val="18"/>
                              <w:szCs w:val="18"/>
                            </w:rPr>
                          </w:sdtEndPr>
                          <w:sdtContent>
                            <w:sdt>
                              <w:sdtPr>
                                <w:id w:val="-275947802"/>
                                <w:docPartObj>
                                  <w:docPartGallery w:val="Page Numbers (Top of Page)"/>
                                  <w:docPartUnique/>
                                </w:docPartObj>
                              </w:sdtPr>
                              <w:sdtEndPr>
                                <w:rPr>
                                  <w:sz w:val="18"/>
                                  <w:szCs w:val="18"/>
                                </w:rPr>
                              </w:sdtEndPr>
                              <w:sdtContent>
                                <w:p w14:paraId="7D6F6CF2" w14:textId="77777777" w:rsidR="000D31BE" w:rsidRPr="00FD75DF" w:rsidRDefault="000D31BE" w:rsidP="000D31BE">
                                  <w:pPr>
                                    <w:pStyle w:val="Piedepgina"/>
                                    <w:jc w:val="right"/>
                                    <w:rPr>
                                      <w:sz w:val="18"/>
                                      <w:szCs w:val="18"/>
                                    </w:rPr>
                                  </w:pPr>
                                  <w:r w:rsidRPr="00FD75DF">
                                    <w:rPr>
                                      <w:bCs/>
                                      <w:sz w:val="18"/>
                                      <w:szCs w:val="18"/>
                                    </w:rPr>
                                    <w:fldChar w:fldCharType="begin"/>
                                  </w:r>
                                  <w:r w:rsidRPr="00FD75DF">
                                    <w:rPr>
                                      <w:bCs/>
                                      <w:sz w:val="18"/>
                                      <w:szCs w:val="18"/>
                                    </w:rPr>
                                    <w:instrText>PAGE</w:instrText>
                                  </w:r>
                                  <w:r w:rsidRPr="00FD75DF">
                                    <w:rPr>
                                      <w:bCs/>
                                      <w:sz w:val="18"/>
                                      <w:szCs w:val="18"/>
                                    </w:rPr>
                                    <w:fldChar w:fldCharType="separate"/>
                                  </w:r>
                                  <w:r w:rsidR="00A1142A">
                                    <w:rPr>
                                      <w:bCs/>
                                      <w:noProof/>
                                      <w:sz w:val="18"/>
                                      <w:szCs w:val="18"/>
                                    </w:rPr>
                                    <w:t>2</w:t>
                                  </w:r>
                                  <w:r w:rsidRPr="00FD75DF">
                                    <w:rPr>
                                      <w:bCs/>
                                      <w:sz w:val="18"/>
                                      <w:szCs w:val="18"/>
                                    </w:rPr>
                                    <w:fldChar w:fldCharType="end"/>
                                  </w:r>
                                  <w:r w:rsidRPr="00FD75DF">
                                    <w:rPr>
                                      <w:sz w:val="18"/>
                                      <w:szCs w:val="18"/>
                                    </w:rPr>
                                    <w:t xml:space="preserve"> / </w:t>
                                  </w:r>
                                  <w:r w:rsidRPr="00FD75DF">
                                    <w:rPr>
                                      <w:bCs/>
                                      <w:sz w:val="18"/>
                                      <w:szCs w:val="18"/>
                                    </w:rPr>
                                    <w:fldChar w:fldCharType="begin"/>
                                  </w:r>
                                  <w:r w:rsidRPr="00FD75DF">
                                    <w:rPr>
                                      <w:bCs/>
                                      <w:sz w:val="18"/>
                                      <w:szCs w:val="18"/>
                                    </w:rPr>
                                    <w:instrText>NUMPAGES</w:instrText>
                                  </w:r>
                                  <w:r w:rsidRPr="00FD75DF">
                                    <w:rPr>
                                      <w:bCs/>
                                      <w:sz w:val="18"/>
                                      <w:szCs w:val="18"/>
                                    </w:rPr>
                                    <w:fldChar w:fldCharType="separate"/>
                                  </w:r>
                                  <w:r w:rsidR="00A1142A">
                                    <w:rPr>
                                      <w:bCs/>
                                      <w:noProof/>
                                      <w:sz w:val="18"/>
                                      <w:szCs w:val="18"/>
                                    </w:rPr>
                                    <w:t>10</w:t>
                                  </w:r>
                                  <w:r w:rsidRPr="00FD75DF">
                                    <w:rPr>
                                      <w:bCs/>
                                      <w:sz w:val="18"/>
                                      <w:szCs w:val="18"/>
                                    </w:rPr>
                                    <w:fldChar w:fldCharType="end"/>
                                  </w:r>
                                </w:p>
                              </w:sdtContent>
                            </w:sd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EC6562" id="_x0000_t202" coordsize="21600,21600" o:spt="202" path="m,l,21600r21600,l21600,xe">
              <v:stroke joinstyle="miter"/>
              <v:path gradientshapeok="t" o:connecttype="rect"/>
            </v:shapetype>
            <v:shape id="Cuadro de texto 2" o:spid="_x0000_s1029" type="#_x0000_t202" style="position:absolute;margin-left:447pt;margin-top:7.75pt;width:48.5pt;height:2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" stroked="f">
              <v:textbox>
                <w:txbxContent>
                  <w:sdt>
                    <w:sdtPr>
                      <w:id w:val="-1179584836"/>
                      <w:docPartObj>
                        <w:docPartGallery w:val="Page Numbers (Bottom of Page)"/>
                        <w:docPartUnique/>
                      </w:docPartObj>
                    </w:sdtPr>
                    <w:sdtEndPr>
                      <w:rPr>
                        <w:sz w:val="18"/>
                        <w:szCs w:val="18"/>
                      </w:rPr>
                    </w:sdtEndPr>
                    <w:sdtContent>
                      <w:sdt>
                        <w:sdtPr>
                          <w:id w:val="-275947802"/>
                          <w:docPartObj>
                            <w:docPartGallery w:val="Page Numbers (Top of Page)"/>
                            <w:docPartUnique/>
                          </w:docPartObj>
                        </w:sdtPr>
                        <w:sdtEndPr>
                          <w:rPr>
                            <w:sz w:val="18"/>
                            <w:szCs w:val="18"/>
                          </w:rPr>
                        </w:sdtEndPr>
                        <w:sdtContent>
                          <w:p w14:paraId="7D6F6CF2" w14:textId="77777777" w:rsidR="000D31BE" w:rsidRPr="00FD75DF" w:rsidRDefault="000D31BE" w:rsidP="000D31BE">
                            <w:pPr>
                              <w:pStyle w:val="Piedepgina"/>
                              <w:jc w:val="right"/>
                              <w:rPr>
                                <w:sz w:val="18"/>
                                <w:szCs w:val="18"/>
                              </w:rPr>
                            </w:pPr>
                            <w:r w:rsidRPr="00FD75DF">
                              <w:rPr>
                                <w:bCs/>
                                <w:sz w:val="18"/>
                                <w:szCs w:val="18"/>
                              </w:rPr>
                              <w:fldChar w:fldCharType="begin"/>
                            </w:r>
                            <w:r w:rsidRPr="00FD75DF">
                              <w:rPr>
                                <w:bCs/>
                                <w:sz w:val="18"/>
                                <w:szCs w:val="18"/>
                              </w:rPr>
                              <w:instrText>PAGE</w:instrText>
                            </w:r>
                            <w:r w:rsidRPr="00FD75DF">
                              <w:rPr>
                                <w:bCs/>
                                <w:sz w:val="18"/>
                                <w:szCs w:val="18"/>
                              </w:rPr>
                              <w:fldChar w:fldCharType="separate"/>
                            </w:r>
                            <w:r w:rsidR="00A1142A">
                              <w:rPr>
                                <w:bCs/>
                                <w:noProof/>
                                <w:sz w:val="18"/>
                                <w:szCs w:val="18"/>
                              </w:rPr>
                              <w:t>2</w:t>
                            </w:r>
                            <w:r w:rsidRPr="00FD75DF">
                              <w:rPr>
                                <w:bCs/>
                                <w:sz w:val="18"/>
                                <w:szCs w:val="18"/>
                              </w:rPr>
                              <w:fldChar w:fldCharType="end"/>
                            </w:r>
                            <w:r w:rsidRPr="00FD75DF">
                              <w:rPr>
                                <w:sz w:val="18"/>
                                <w:szCs w:val="18"/>
                              </w:rPr>
                              <w:t xml:space="preserve"> / </w:t>
                            </w:r>
                            <w:r w:rsidRPr="00FD75DF">
                              <w:rPr>
                                <w:bCs/>
                                <w:sz w:val="18"/>
                                <w:szCs w:val="18"/>
                              </w:rPr>
                              <w:fldChar w:fldCharType="begin"/>
                            </w:r>
                            <w:r w:rsidRPr="00FD75DF">
                              <w:rPr>
                                <w:bCs/>
                                <w:sz w:val="18"/>
                                <w:szCs w:val="18"/>
                              </w:rPr>
                              <w:instrText>NUMPAGES</w:instrText>
                            </w:r>
                            <w:r w:rsidRPr="00FD75DF">
                              <w:rPr>
                                <w:bCs/>
                                <w:sz w:val="18"/>
                                <w:szCs w:val="18"/>
                              </w:rPr>
                              <w:fldChar w:fldCharType="separate"/>
                            </w:r>
                            <w:r w:rsidR="00A1142A">
                              <w:rPr>
                                <w:bCs/>
                                <w:noProof/>
                                <w:sz w:val="18"/>
                                <w:szCs w:val="18"/>
                              </w:rPr>
                              <w:t>10</w:t>
                            </w:r>
                            <w:r w:rsidRPr="00FD75DF">
                              <w:rPr>
                                <w:bCs/>
                                <w:sz w:val="18"/>
                                <w:szCs w:val="18"/>
                              </w:rPr>
                              <w:fldChar w:fldCharType="end"/>
                            </w:r>
                          </w:p>
                        </w:sdtContent>
                      </w:sdt>
                    </w:sdtContent>
                  </w:sdt>
                </w:txbxContent>
              </v:textbox>
            </v:shape>
          </w:pict>
        </mc:Fallback>
      </mc:AlternateContent>
    </w:r>
    <w:r w:rsidR="0068772D">
      <w:rPr>
        <w:rFonts w:asciiTheme="majorHAnsi" w:hAnsiTheme="majorHAnsi"/>
        <w:i/>
        <w:noProof/>
        <w:color w:val="666666"/>
      </w:rPr>
      <mc:AlternateContent>
        <mc:Choice Requires="wps">
          <w:drawing>
            <wp:anchor distT="0" distB="0" distL="114300" distR="114300" simplePos="0" relativeHeight="251670528" behindDoc="0" locked="0" layoutInCell="1" allowOverlap="1" wp14:anchorId="63FFAE74" wp14:editId="62D482FD">
              <wp:simplePos x="0" y="0"/>
              <wp:positionH relativeFrom="column">
                <wp:posOffset>-89824</wp:posOffset>
              </wp:positionH>
              <wp:positionV relativeFrom="paragraph">
                <wp:posOffset>-232352</wp:posOffset>
              </wp:positionV>
              <wp:extent cx="1773382" cy="7620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382"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1C09AF" w14:textId="77777777" w:rsidR="0068772D" w:rsidRDefault="00177E6E" w:rsidP="0068772D">
                          <w:r>
                            <w:rPr>
                              <w:noProof/>
                            </w:rPr>
                            <w:drawing>
                              <wp:inline distT="0" distB="0" distL="0" distR="0" wp14:anchorId="57371168" wp14:editId="76A3B738">
                                <wp:extent cx="1409700" cy="51779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454" cy="5279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FAE74" id="_x0000_s1030" type="#_x0000_t202" style="position:absolute;margin-left:-7.05pt;margin-top:-18.3pt;width:139.65pt;height:6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" stroked="f">
              <v:textbox>
                <w:txbxContent>
                  <w:p w14:paraId="1D1C09AF" w14:textId="77777777" w:rsidR="0068772D" w:rsidRDefault="00177E6E" w:rsidP="0068772D">
                    <w:r>
                      <w:rPr>
                        <w:noProof/>
                      </w:rPr>
                      <w:drawing>
                        <wp:inline distT="0" distB="0" distL="0" distR="0" wp14:anchorId="57371168" wp14:editId="76A3B738">
                          <wp:extent cx="1409700" cy="51779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454" cy="527985"/>
                                  </a:xfrm>
                                  <a:prstGeom prst="rect">
                                    <a:avLst/>
                                  </a:prstGeom>
                                  <a:noFill/>
                                  <a:ln>
                                    <a:noFill/>
                                  </a:ln>
                                </pic:spPr>
                              </pic:pic>
                            </a:graphicData>
                          </a:graphic>
                        </wp:inline>
                      </w:drawing>
                    </w:r>
                  </w:p>
                </w:txbxContent>
              </v:textbox>
            </v:shape>
          </w:pict>
        </mc:Fallback>
      </mc:AlternateContent>
    </w:r>
    <w:r w:rsidR="0068772D" w:rsidRPr="00846497">
      <w:rPr>
        <w:noProof/>
      </w:rPr>
      <mc:AlternateContent>
        <mc:Choice Requires="wps">
          <w:drawing>
            <wp:anchor distT="0" distB="0" distL="114300" distR="114300" simplePos="0" relativeHeight="251672576" behindDoc="0" locked="0" layoutInCell="1" allowOverlap="1" wp14:anchorId="0DB1FE80" wp14:editId="007D3F22">
              <wp:simplePos x="0" y="0"/>
              <wp:positionH relativeFrom="column">
                <wp:posOffset>1418070</wp:posOffset>
              </wp:positionH>
              <wp:positionV relativeFrom="paragraph">
                <wp:posOffset>-361315</wp:posOffset>
              </wp:positionV>
              <wp:extent cx="3611368" cy="779647"/>
              <wp:effectExtent l="0" t="0" r="0" b="1905"/>
              <wp:wrapNone/>
              <wp:docPr id="3" name="Cuadro de texto 1"/>
              <wp:cNvGraphicFramePr/>
              <a:graphic xmlns:a="http://schemas.openxmlformats.org/drawingml/2006/main">
                <a:graphicData uri="http://schemas.microsoft.com/office/word/2010/wordprocessingShape">
                  <wps:wsp>
                    <wps:cNvSpPr txBox="1"/>
                    <wps:spPr>
                      <a:xfrm>
                        <a:off x="0" y="0"/>
                        <a:ext cx="3611368" cy="779647"/>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48488D6" w14:textId="77777777" w:rsidR="00177E6E" w:rsidRDefault="00177E6E" w:rsidP="00177E6E">
                          <w:pPr>
                            <w:jc w:val="center"/>
                            <w:rPr>
                              <w:rFonts w:asciiTheme="majorHAnsi" w:hAnsiTheme="majorHAnsi"/>
                              <w:i/>
                              <w:color w:val="666666"/>
                            </w:rPr>
                          </w:pPr>
                          <w:r w:rsidRPr="002443E6">
                            <w:rPr>
                              <w:rFonts w:asciiTheme="majorHAnsi" w:hAnsiTheme="majorHAnsi"/>
                              <w:i/>
                              <w:color w:val="666666"/>
                            </w:rPr>
                            <w:t>Departamento de Asuntos Económicos y Europeos</w:t>
                          </w:r>
                        </w:p>
                        <w:p w14:paraId="6B823B61" w14:textId="77777777" w:rsidR="00177E6E" w:rsidRDefault="00177E6E" w:rsidP="00177E6E">
                          <w:pPr>
                            <w:jc w:val="center"/>
                            <w:rPr>
                              <w:rFonts w:asciiTheme="majorHAnsi" w:hAnsiTheme="majorHAnsi"/>
                              <w:i/>
                              <w:color w:val="666666"/>
                            </w:rPr>
                          </w:pPr>
                          <w:r>
                            <w:rPr>
                              <w:rFonts w:asciiTheme="majorHAnsi" w:hAnsiTheme="majorHAnsi"/>
                              <w:i/>
                              <w:color w:val="666666"/>
                            </w:rPr>
                            <w:t>Comisión de Desarrollo Sostenible y Medio Ambiente</w:t>
                          </w:r>
                        </w:p>
                        <w:p w14:paraId="7E2CD692" w14:textId="1033F59E" w:rsidR="00177E6E" w:rsidRPr="00D55C79" w:rsidRDefault="00177E6E" w:rsidP="00177E6E">
                          <w:pPr>
                            <w:jc w:val="center"/>
                            <w:rPr>
                              <w:rFonts w:asciiTheme="majorHAnsi" w:hAnsiTheme="majorHAnsi"/>
                              <w:i/>
                              <w:color w:val="666666"/>
                            </w:rPr>
                          </w:pPr>
                          <w:r>
                            <w:rPr>
                              <w:rFonts w:asciiTheme="majorHAnsi" w:hAnsiTheme="majorHAnsi"/>
                              <w:i/>
                              <w:color w:val="666666"/>
                            </w:rPr>
                            <w:t xml:space="preserve">Grupo de trabajo de </w:t>
                          </w:r>
                          <w:r w:rsidR="00D4248F">
                            <w:rPr>
                              <w:rFonts w:asciiTheme="majorHAnsi" w:hAnsiTheme="majorHAnsi"/>
                              <w:i/>
                              <w:color w:val="666666"/>
                            </w:rPr>
                            <w:t>Economía Circular</w:t>
                          </w:r>
                        </w:p>
                        <w:p w14:paraId="19309341" w14:textId="77777777" w:rsidR="0068772D" w:rsidRPr="00D55C79" w:rsidRDefault="0068772D" w:rsidP="0068772D">
                          <w:pPr>
                            <w:jc w:val="center"/>
                            <w:rPr>
                              <w:rFonts w:asciiTheme="majorHAnsi" w:hAnsiTheme="majorHAnsi"/>
                              <w:i/>
                              <w:color w:val="6666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1FE80" id="Cuadro de texto 1" o:spid="_x0000_s1031" type="#_x0000_t202" style="position:absolute;margin-left:111.65pt;margin-top:-28.45pt;width:284.35pt;height:6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" filled="f" stroked="f">
              <v:textbox>
                <w:txbxContent>
                  <w:p w14:paraId="048488D6" w14:textId="77777777" w:rsidR="00177E6E" w:rsidRDefault="00177E6E" w:rsidP="00177E6E">
                    <w:pPr>
                      <w:jc w:val="center"/>
                      <w:rPr>
                        <w:rFonts w:asciiTheme="majorHAnsi" w:hAnsiTheme="majorHAnsi"/>
                        <w:i/>
                        <w:color w:val="666666"/>
                      </w:rPr>
                    </w:pPr>
                    <w:r w:rsidRPr="002443E6">
                      <w:rPr>
                        <w:rFonts w:asciiTheme="majorHAnsi" w:hAnsiTheme="majorHAnsi"/>
                        <w:i/>
                        <w:color w:val="666666"/>
                      </w:rPr>
                      <w:t>Departamento de Asuntos Económicos y Europeos</w:t>
                    </w:r>
                  </w:p>
                  <w:p w14:paraId="6B823B61" w14:textId="77777777" w:rsidR="00177E6E" w:rsidRDefault="00177E6E" w:rsidP="00177E6E">
                    <w:pPr>
                      <w:jc w:val="center"/>
                      <w:rPr>
                        <w:rFonts w:asciiTheme="majorHAnsi" w:hAnsiTheme="majorHAnsi"/>
                        <w:i/>
                        <w:color w:val="666666"/>
                      </w:rPr>
                    </w:pPr>
                    <w:r>
                      <w:rPr>
                        <w:rFonts w:asciiTheme="majorHAnsi" w:hAnsiTheme="majorHAnsi"/>
                        <w:i/>
                        <w:color w:val="666666"/>
                      </w:rPr>
                      <w:t>Comisión de Desarrollo Sostenible y Medio Ambiente</w:t>
                    </w:r>
                  </w:p>
                  <w:p w14:paraId="7E2CD692" w14:textId="1033F59E" w:rsidR="00177E6E" w:rsidRPr="00D55C79" w:rsidRDefault="00177E6E" w:rsidP="00177E6E">
                    <w:pPr>
                      <w:jc w:val="center"/>
                      <w:rPr>
                        <w:rFonts w:asciiTheme="majorHAnsi" w:hAnsiTheme="majorHAnsi"/>
                        <w:i/>
                        <w:color w:val="666666"/>
                      </w:rPr>
                    </w:pPr>
                    <w:r>
                      <w:rPr>
                        <w:rFonts w:asciiTheme="majorHAnsi" w:hAnsiTheme="majorHAnsi"/>
                        <w:i/>
                        <w:color w:val="666666"/>
                      </w:rPr>
                      <w:t xml:space="preserve">Grupo de trabajo de </w:t>
                    </w:r>
                    <w:r w:rsidR="00D4248F">
                      <w:rPr>
                        <w:rFonts w:asciiTheme="majorHAnsi" w:hAnsiTheme="majorHAnsi"/>
                        <w:i/>
                        <w:color w:val="666666"/>
                      </w:rPr>
                      <w:t>Economía Circular</w:t>
                    </w:r>
                  </w:p>
                  <w:p w14:paraId="19309341" w14:textId="77777777" w:rsidR="0068772D" w:rsidRPr="00D55C79" w:rsidRDefault="0068772D" w:rsidP="0068772D">
                    <w:pPr>
                      <w:jc w:val="center"/>
                      <w:rPr>
                        <w:rFonts w:asciiTheme="majorHAnsi" w:hAnsiTheme="majorHAnsi"/>
                        <w:i/>
                        <w:color w:val="666666"/>
                      </w:rPr>
                    </w:pPr>
                  </w:p>
                </w:txbxContent>
              </v:textbox>
            </v:shape>
          </w:pict>
        </mc:Fallback>
      </mc:AlternateContent>
    </w:r>
    <w:r w:rsidR="00F61858">
      <w:rPr>
        <w:noProof/>
      </w:rPr>
      <w:drawing>
        <wp:anchor distT="0" distB="0" distL="114300" distR="114300" simplePos="0" relativeHeight="251668480" behindDoc="1" locked="0" layoutInCell="1" allowOverlap="1" wp14:anchorId="5FEBAB87" wp14:editId="6F205260">
          <wp:simplePos x="0" y="0"/>
          <wp:positionH relativeFrom="margin">
            <wp:posOffset>4536440</wp:posOffset>
          </wp:positionH>
          <wp:positionV relativeFrom="margin">
            <wp:posOffset>7781290</wp:posOffset>
          </wp:positionV>
          <wp:extent cx="1531620" cy="1534160"/>
          <wp:effectExtent l="0" t="0" r="0" b="889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5:CEOE:Publicaciones finales:Publicaciones Internas:pdf:jpg:ceoe_publicaciones_internas_ .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9205" t="38706" r="10558" b="46958"/>
                  <a:stretch/>
                </pic:blipFill>
                <pic:spPr bwMode="auto">
                  <a:xfrm>
                    <a:off x="0" y="0"/>
                    <a:ext cx="1531620" cy="1534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0B7B14" w14:textId="77777777" w:rsidR="00A32517" w:rsidRPr="00771F28" w:rsidRDefault="00A32517" w:rsidP="00771F28">
    <w:pP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0A097" w14:textId="77777777" w:rsidR="00951300" w:rsidRDefault="00951300" w:rsidP="000E753C">
      <w:r>
        <w:separator/>
      </w:r>
    </w:p>
  </w:footnote>
  <w:footnote w:type="continuationSeparator" w:id="0">
    <w:p w14:paraId="3C241B37" w14:textId="77777777" w:rsidR="00951300" w:rsidRDefault="00951300" w:rsidP="000E753C">
      <w:r>
        <w:continuationSeparator/>
      </w:r>
    </w:p>
  </w:footnote>
  <w:footnote w:id="1">
    <w:p w14:paraId="1AFD0185" w14:textId="77777777" w:rsidR="00D615D9" w:rsidRDefault="00F222BD" w:rsidP="00F222BD">
      <w:pPr>
        <w:autoSpaceDE w:val="0"/>
        <w:autoSpaceDN w:val="0"/>
        <w:adjustRightInd w:val="0"/>
        <w:rPr>
          <w:sz w:val="20"/>
          <w:szCs w:val="20"/>
        </w:rPr>
      </w:pPr>
      <w:r>
        <w:rPr>
          <w:rStyle w:val="Refdenotaalpie"/>
        </w:rPr>
        <w:footnoteRef/>
      </w:r>
      <w:r w:rsidRPr="00B10E3F">
        <w:t xml:space="preserve"> </w:t>
      </w:r>
      <w:r w:rsidRPr="00B10E3F">
        <w:rPr>
          <w:sz w:val="20"/>
          <w:szCs w:val="20"/>
        </w:rPr>
        <w:t>Valorar la posibilidad de utilizar la definición de Venta a distancia y venta automática, del apartado 14, artículo 2 del RD 782/1988:</w:t>
      </w:r>
    </w:p>
    <w:p w14:paraId="422C84CB" w14:textId="0A7CD3B6" w:rsidR="00F222BD" w:rsidRPr="007A0AEA" w:rsidRDefault="00F222BD" w:rsidP="00F222BD">
      <w:pPr>
        <w:autoSpaceDE w:val="0"/>
        <w:autoSpaceDN w:val="0"/>
        <w:adjustRightInd w:val="0"/>
        <w:rPr>
          <w:sz w:val="20"/>
          <w:szCs w:val="20"/>
        </w:rPr>
      </w:pPr>
      <w:r w:rsidRPr="00D615D9">
        <w:rPr>
          <w:i/>
          <w:sz w:val="20"/>
          <w:szCs w:val="20"/>
        </w:rPr>
        <w:t xml:space="preserve">Venta a distancia y venta automática: </w:t>
      </w:r>
      <w:r w:rsidR="00D615D9" w:rsidRPr="00D615D9">
        <w:rPr>
          <w:i/>
          <w:sz w:val="20"/>
          <w:szCs w:val="20"/>
        </w:rPr>
        <w:t>l</w:t>
      </w:r>
      <w:r w:rsidRPr="00D615D9">
        <w:rPr>
          <w:i/>
          <w:sz w:val="20"/>
          <w:szCs w:val="20"/>
        </w:rPr>
        <w:t>as celebradas de acuerdo con 10 establecido en los artículos 38.1 y 49.1, respectivamente, de la Ley 7/1996, de 15 de enero, de Ordenaci</w:t>
      </w:r>
      <w:r w:rsidR="00D615D9">
        <w:rPr>
          <w:i/>
          <w:sz w:val="20"/>
          <w:szCs w:val="20"/>
        </w:rPr>
        <w:t>ó</w:t>
      </w:r>
      <w:r w:rsidRPr="00D615D9">
        <w:rPr>
          <w:i/>
          <w:sz w:val="20"/>
          <w:szCs w:val="20"/>
        </w:rPr>
        <w:t>n del Comercio Minorista</w:t>
      </w:r>
    </w:p>
    <w:p w14:paraId="40EF425A" w14:textId="77777777" w:rsidR="00F222BD" w:rsidRDefault="00F222BD" w:rsidP="00F222BD">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7209A" w14:textId="24FFE91A" w:rsidR="00D4248F" w:rsidRDefault="00F8167B" w:rsidP="00FF14FE">
    <w:pPr>
      <w:pStyle w:val="Textoindependiente"/>
      <w:jc w:val="right"/>
      <w:rPr>
        <w:rFonts w:asciiTheme="majorHAnsi" w:eastAsiaTheme="minorEastAsia" w:hAnsiTheme="majorHAnsi" w:cstheme="minorBidi"/>
        <w:i/>
        <w:color w:val="002060"/>
        <w:sz w:val="30"/>
        <w:szCs w:val="24"/>
        <w:lang w:val="es-ES" w:eastAsia="es-ES"/>
      </w:rPr>
    </w:pPr>
    <w:sdt>
      <w:sdtPr>
        <w:rPr>
          <w:rFonts w:asciiTheme="majorHAnsi" w:eastAsiaTheme="minorEastAsia" w:hAnsiTheme="majorHAnsi" w:cstheme="minorBidi"/>
          <w:i/>
          <w:color w:val="002060"/>
          <w:sz w:val="30"/>
          <w:szCs w:val="24"/>
          <w:lang w:val="es-ES" w:eastAsia="es-ES"/>
        </w:rPr>
        <w:id w:val="602153527"/>
        <w:docPartObj>
          <w:docPartGallery w:val="Watermarks"/>
          <w:docPartUnique/>
        </w:docPartObj>
      </w:sdtPr>
      <w:sdtContent>
        <w:r w:rsidRPr="00F8167B">
          <w:rPr>
            <w:rFonts w:asciiTheme="majorHAnsi" w:eastAsiaTheme="minorEastAsia" w:hAnsiTheme="majorHAnsi" w:cstheme="minorBidi"/>
            <w:i/>
            <w:color w:val="002060"/>
            <w:sz w:val="30"/>
            <w:szCs w:val="24"/>
            <w:lang w:val="es-ES" w:eastAsia="es-ES"/>
          </w:rPr>
          <w:pict w14:anchorId="07DA9A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4185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sdtContent>
    </w:sdt>
    <w:r w:rsidR="00D4248F" w:rsidRPr="00D4248F">
      <w:rPr>
        <w:rFonts w:asciiTheme="majorHAnsi" w:eastAsiaTheme="minorEastAsia" w:hAnsiTheme="majorHAnsi" w:cstheme="minorBidi"/>
        <w:i/>
        <w:color w:val="002060"/>
        <w:sz w:val="30"/>
        <w:szCs w:val="24"/>
        <w:lang w:val="es-ES" w:eastAsia="es-ES"/>
      </w:rPr>
      <w:t>CEOE</w:t>
    </w:r>
    <w:r w:rsidR="00213365">
      <w:rPr>
        <w:rFonts w:asciiTheme="majorHAnsi" w:eastAsiaTheme="minorEastAsia" w:hAnsiTheme="majorHAnsi" w:cstheme="minorBidi"/>
        <w:i/>
        <w:color w:val="002060"/>
        <w:sz w:val="30"/>
        <w:szCs w:val="24"/>
        <w:lang w:val="es-ES" w:eastAsia="es-ES"/>
      </w:rPr>
      <w:t>. Comentarios a la r</w:t>
    </w:r>
    <w:r w:rsidR="00213365" w:rsidRPr="00213365">
      <w:rPr>
        <w:rFonts w:asciiTheme="majorHAnsi" w:eastAsiaTheme="minorEastAsia" w:hAnsiTheme="majorHAnsi" w:cstheme="minorBidi"/>
        <w:i/>
        <w:color w:val="002060"/>
        <w:sz w:val="30"/>
        <w:szCs w:val="24"/>
        <w:lang w:val="es-ES" w:eastAsia="es-ES"/>
      </w:rPr>
      <w:t xml:space="preserve">evisión puntual de la normativa de envases </w:t>
    </w:r>
  </w:p>
  <w:p w14:paraId="380C3256" w14:textId="320FBEC8" w:rsidR="00663D28" w:rsidRPr="00FF14FE" w:rsidRDefault="00ED52A1" w:rsidP="00FF14FE">
    <w:pPr>
      <w:pStyle w:val="Textoindependiente"/>
      <w:jc w:val="right"/>
      <w:rPr>
        <w:i/>
        <w:color w:val="AA1A3F"/>
        <w:sz w:val="30"/>
        <w:szCs w:val="30"/>
        <w:lang w:val="es-ES"/>
      </w:rPr>
    </w:pPr>
    <w:r w:rsidRPr="0017667D">
      <w:rPr>
        <w:b/>
        <w:i/>
        <w:sz w:val="32"/>
        <w:szCs w:val="32"/>
        <w:highlight w:val="cyan"/>
        <w:lang w:val="es-ES_tradnl"/>
      </w:rPr>
      <w:t>BORRADOR</w:t>
    </w:r>
    <w:r w:rsidRPr="00ED52A1">
      <w:rPr>
        <w:i/>
        <w:sz w:val="30"/>
        <w:szCs w:val="30"/>
        <w:lang w:val="es-ES_tradnl"/>
      </w:rPr>
      <w:t xml:space="preserve"> </w:t>
    </w:r>
    <w:r w:rsidR="00D4248F">
      <w:rPr>
        <w:i/>
        <w:color w:val="AA1A3F"/>
        <w:sz w:val="30"/>
        <w:szCs w:val="30"/>
        <w:lang w:val="es-ES_tradnl"/>
      </w:rPr>
      <w:t>1</w:t>
    </w:r>
    <w:r w:rsidR="00A73E7C">
      <w:rPr>
        <w:i/>
        <w:color w:val="AA1A3F"/>
        <w:sz w:val="30"/>
        <w:szCs w:val="30"/>
        <w:lang w:val="es-ES_tradnl"/>
      </w:rPr>
      <w:t>6</w:t>
    </w:r>
    <w:r w:rsidR="00FF14FE" w:rsidRPr="00B552C0">
      <w:rPr>
        <w:i/>
        <w:color w:val="AA1A3F"/>
        <w:sz w:val="30"/>
        <w:szCs w:val="30"/>
        <w:lang w:val="es-ES_tradnl"/>
      </w:rPr>
      <w:t xml:space="preserve"> </w:t>
    </w:r>
    <w:r w:rsidR="00D4248F">
      <w:rPr>
        <w:i/>
        <w:color w:val="AA1A3F"/>
        <w:sz w:val="30"/>
        <w:szCs w:val="30"/>
        <w:lang w:val="es-ES_tradnl"/>
      </w:rPr>
      <w:t>octubre</w:t>
    </w:r>
    <w:r w:rsidR="00FF14FE" w:rsidRPr="00B552C0">
      <w:rPr>
        <w:i/>
        <w:color w:val="AA1A3F"/>
        <w:sz w:val="30"/>
        <w:szCs w:val="30"/>
        <w:lang w:val="es-ES_tradnl"/>
      </w:rPr>
      <w:t xml:space="preserve"> </w:t>
    </w:r>
    <w:r w:rsidR="00FF14FE" w:rsidRPr="00B552C0">
      <w:rPr>
        <w:i/>
        <w:color w:val="AA1A3F"/>
        <w:sz w:val="30"/>
        <w:szCs w:val="30"/>
        <w:lang w:val="es-ES"/>
      </w:rPr>
      <w:t>201</w:t>
    </w:r>
    <w:r w:rsidR="00BF7A58">
      <w:rPr>
        <w:i/>
        <w:color w:val="AA1A3F"/>
        <w:sz w:val="30"/>
        <w:szCs w:val="30"/>
        <w:lang w:val="es-ES"/>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52010" w14:textId="77777777" w:rsidR="00FF14FE" w:rsidRDefault="00FF14FE">
    <w:pPr>
      <w:pStyle w:val="Encabezado"/>
    </w:pPr>
  </w:p>
  <w:p w14:paraId="3F6BF89A" w14:textId="77777777" w:rsidR="00FF14FE" w:rsidRDefault="00FF14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54502"/>
    <w:multiLevelType w:val="hybridMultilevel"/>
    <w:tmpl w:val="90881788"/>
    <w:lvl w:ilvl="0" w:tplc="5702763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BB00B0"/>
    <w:multiLevelType w:val="hybridMultilevel"/>
    <w:tmpl w:val="1C1A535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D6638E4"/>
    <w:multiLevelType w:val="hybridMultilevel"/>
    <w:tmpl w:val="9982AD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252053"/>
    <w:multiLevelType w:val="hybridMultilevel"/>
    <w:tmpl w:val="6F3E35E0"/>
    <w:lvl w:ilvl="0" w:tplc="0409000F">
      <w:start w:val="1"/>
      <w:numFmt w:val="decimal"/>
      <w:lvlText w:val="%1."/>
      <w:lvlJc w:val="left"/>
      <w:pPr>
        <w:tabs>
          <w:tab w:val="num" w:pos="3905"/>
        </w:tabs>
        <w:ind w:left="3905" w:hanging="360"/>
      </w:pPr>
    </w:lvl>
    <w:lvl w:ilvl="1" w:tplc="04090019">
      <w:start w:val="1"/>
      <w:numFmt w:val="lowerLetter"/>
      <w:lvlText w:val="%2."/>
      <w:lvlJc w:val="left"/>
      <w:pPr>
        <w:tabs>
          <w:tab w:val="num" w:pos="4625"/>
        </w:tabs>
        <w:ind w:left="4625" w:hanging="360"/>
      </w:pPr>
    </w:lvl>
    <w:lvl w:ilvl="2" w:tplc="0409001B">
      <w:start w:val="1"/>
      <w:numFmt w:val="lowerRoman"/>
      <w:lvlText w:val="%3."/>
      <w:lvlJc w:val="right"/>
      <w:pPr>
        <w:tabs>
          <w:tab w:val="num" w:pos="5345"/>
        </w:tabs>
        <w:ind w:left="5345" w:hanging="180"/>
      </w:pPr>
    </w:lvl>
    <w:lvl w:ilvl="3" w:tplc="0409000F" w:tentative="1">
      <w:start w:val="1"/>
      <w:numFmt w:val="decimal"/>
      <w:lvlText w:val="%4."/>
      <w:lvlJc w:val="left"/>
      <w:pPr>
        <w:tabs>
          <w:tab w:val="num" w:pos="6065"/>
        </w:tabs>
        <w:ind w:left="6065" w:hanging="360"/>
      </w:pPr>
    </w:lvl>
    <w:lvl w:ilvl="4" w:tplc="04090019" w:tentative="1">
      <w:start w:val="1"/>
      <w:numFmt w:val="lowerLetter"/>
      <w:lvlText w:val="%5."/>
      <w:lvlJc w:val="left"/>
      <w:pPr>
        <w:tabs>
          <w:tab w:val="num" w:pos="6785"/>
        </w:tabs>
        <w:ind w:left="6785" w:hanging="360"/>
      </w:pPr>
    </w:lvl>
    <w:lvl w:ilvl="5" w:tplc="0409001B" w:tentative="1">
      <w:start w:val="1"/>
      <w:numFmt w:val="lowerRoman"/>
      <w:lvlText w:val="%6."/>
      <w:lvlJc w:val="right"/>
      <w:pPr>
        <w:tabs>
          <w:tab w:val="num" w:pos="7505"/>
        </w:tabs>
        <w:ind w:left="7505" w:hanging="180"/>
      </w:pPr>
    </w:lvl>
    <w:lvl w:ilvl="6" w:tplc="0409000F" w:tentative="1">
      <w:start w:val="1"/>
      <w:numFmt w:val="decimal"/>
      <w:lvlText w:val="%7."/>
      <w:lvlJc w:val="left"/>
      <w:pPr>
        <w:tabs>
          <w:tab w:val="num" w:pos="8225"/>
        </w:tabs>
        <w:ind w:left="8225" w:hanging="360"/>
      </w:pPr>
    </w:lvl>
    <w:lvl w:ilvl="7" w:tplc="04090019" w:tentative="1">
      <w:start w:val="1"/>
      <w:numFmt w:val="lowerLetter"/>
      <w:lvlText w:val="%8."/>
      <w:lvlJc w:val="left"/>
      <w:pPr>
        <w:tabs>
          <w:tab w:val="num" w:pos="8945"/>
        </w:tabs>
        <w:ind w:left="8945" w:hanging="360"/>
      </w:pPr>
    </w:lvl>
    <w:lvl w:ilvl="8" w:tplc="0409001B" w:tentative="1">
      <w:start w:val="1"/>
      <w:numFmt w:val="lowerRoman"/>
      <w:lvlText w:val="%9."/>
      <w:lvlJc w:val="right"/>
      <w:pPr>
        <w:tabs>
          <w:tab w:val="num" w:pos="9665"/>
        </w:tabs>
        <w:ind w:left="9665" w:hanging="180"/>
      </w:pPr>
    </w:lvl>
  </w:abstractNum>
  <w:abstractNum w:abstractNumId="4" w15:restartNumberingAfterBreak="0">
    <w:nsid w:val="14EA0B63"/>
    <w:multiLevelType w:val="hybridMultilevel"/>
    <w:tmpl w:val="205CBA9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69D3872"/>
    <w:multiLevelType w:val="hybridMultilevel"/>
    <w:tmpl w:val="3FBEDF10"/>
    <w:lvl w:ilvl="0" w:tplc="5702763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B827868"/>
    <w:multiLevelType w:val="hybridMultilevel"/>
    <w:tmpl w:val="90881788"/>
    <w:lvl w:ilvl="0" w:tplc="5702763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C121F3A"/>
    <w:multiLevelType w:val="hybridMultilevel"/>
    <w:tmpl w:val="7CF2B7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EB77B80"/>
    <w:multiLevelType w:val="hybridMultilevel"/>
    <w:tmpl w:val="712AC3E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06B5E43"/>
    <w:multiLevelType w:val="hybridMultilevel"/>
    <w:tmpl w:val="DB92F6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3DF5469"/>
    <w:multiLevelType w:val="hybridMultilevel"/>
    <w:tmpl w:val="E342017E"/>
    <w:lvl w:ilvl="0" w:tplc="6F8A9032">
      <w:start w:val="2"/>
      <w:numFmt w:val="bullet"/>
      <w:lvlText w:val="-"/>
      <w:lvlJc w:val="left"/>
      <w:pPr>
        <w:ind w:left="420" w:hanging="360"/>
      </w:pPr>
      <w:rPr>
        <w:rFonts w:ascii="Arial" w:eastAsia="Times New Roman" w:hAnsi="Arial" w:cs="Arial" w:hint="default"/>
      </w:rPr>
    </w:lvl>
    <w:lvl w:ilvl="1" w:tplc="0C0A0003">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11" w15:restartNumberingAfterBreak="0">
    <w:nsid w:val="268214FC"/>
    <w:multiLevelType w:val="hybridMultilevel"/>
    <w:tmpl w:val="2BCC90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97C2EF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061631"/>
    <w:multiLevelType w:val="hybridMultilevel"/>
    <w:tmpl w:val="1E40F7AE"/>
    <w:lvl w:ilvl="0" w:tplc="0C0A0015">
      <w:start w:val="1"/>
      <w:numFmt w:val="upperLetter"/>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31FA0593"/>
    <w:multiLevelType w:val="hybridMultilevel"/>
    <w:tmpl w:val="1B20EF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9DD1EA2"/>
    <w:multiLevelType w:val="hybridMultilevel"/>
    <w:tmpl w:val="AFB43A7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C030BEA"/>
    <w:multiLevelType w:val="hybridMultilevel"/>
    <w:tmpl w:val="DD84A79A"/>
    <w:lvl w:ilvl="0" w:tplc="022E187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C402037"/>
    <w:multiLevelType w:val="hybridMultilevel"/>
    <w:tmpl w:val="38F6BC22"/>
    <w:lvl w:ilvl="0" w:tplc="022E187E">
      <w:numFmt w:val="bullet"/>
      <w:lvlText w:val="-"/>
      <w:lvlJc w:val="left"/>
      <w:pPr>
        <w:ind w:left="1068" w:hanging="360"/>
      </w:pPr>
      <w:rPr>
        <w:rFonts w:ascii="Arial" w:eastAsiaTheme="minorEastAsia"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46C256CD"/>
    <w:multiLevelType w:val="hybridMultilevel"/>
    <w:tmpl w:val="577453A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474848A9"/>
    <w:multiLevelType w:val="hybridMultilevel"/>
    <w:tmpl w:val="8D3CB6EA"/>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A11A6"/>
    <w:multiLevelType w:val="hybridMultilevel"/>
    <w:tmpl w:val="9120146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07E428A"/>
    <w:multiLevelType w:val="hybridMultilevel"/>
    <w:tmpl w:val="F894CDF0"/>
    <w:lvl w:ilvl="0" w:tplc="7022378A">
      <w:numFmt w:val="bullet"/>
      <w:lvlText w:val="-"/>
      <w:lvlJc w:val="left"/>
      <w:pPr>
        <w:ind w:left="720" w:hanging="360"/>
      </w:pPr>
      <w:rPr>
        <w:rFonts w:ascii="Verdana" w:eastAsiaTheme="minorHAnsi" w:hAnsi="Verdana" w:cs="Times New Roman" w:hint="default"/>
        <w:i/>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1CA6F25"/>
    <w:multiLevelType w:val="hybridMultilevel"/>
    <w:tmpl w:val="7C66CE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3011C89"/>
    <w:multiLevelType w:val="hybridMultilevel"/>
    <w:tmpl w:val="57DE33B2"/>
    <w:lvl w:ilvl="0" w:tplc="387C4F5C">
      <w:numFmt w:val="bullet"/>
      <w:lvlText w:val="-"/>
      <w:lvlJc w:val="left"/>
      <w:pPr>
        <w:ind w:left="1080" w:hanging="360"/>
      </w:pPr>
      <w:rPr>
        <w:rFonts w:ascii="Calibri" w:eastAsiaTheme="minorHAnsi" w:hAnsi="Calibri" w:cs="Times New Roman"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540C07BC"/>
    <w:multiLevelType w:val="hybridMultilevel"/>
    <w:tmpl w:val="E800EA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88E7F8F"/>
    <w:multiLevelType w:val="hybridMultilevel"/>
    <w:tmpl w:val="65D631D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ACA3656"/>
    <w:multiLevelType w:val="hybridMultilevel"/>
    <w:tmpl w:val="82E88FE6"/>
    <w:lvl w:ilvl="0" w:tplc="0C0A0001">
      <w:start w:val="1"/>
      <w:numFmt w:val="bullet"/>
      <w:lvlText w:val=""/>
      <w:lvlJc w:val="left"/>
      <w:pPr>
        <w:ind w:left="360" w:hanging="360"/>
      </w:pPr>
      <w:rPr>
        <w:rFonts w:ascii="Symbol" w:hAnsi="Symbol" w:hint="default"/>
      </w:rPr>
    </w:lvl>
    <w:lvl w:ilvl="1" w:tplc="0C0A0005">
      <w:start w:val="1"/>
      <w:numFmt w:val="bullet"/>
      <w:lvlText w:val=""/>
      <w:lvlJc w:val="left"/>
      <w:pPr>
        <w:ind w:left="1080" w:hanging="360"/>
      </w:pPr>
      <w:rPr>
        <w:rFonts w:ascii="Wingdings" w:hAnsi="Wingding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62F52D12"/>
    <w:multiLevelType w:val="hybridMultilevel"/>
    <w:tmpl w:val="D904212E"/>
    <w:lvl w:ilvl="0" w:tplc="0C0A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8" w15:restartNumberingAfterBreak="0">
    <w:nsid w:val="643225BD"/>
    <w:multiLevelType w:val="hybridMultilevel"/>
    <w:tmpl w:val="D89468D0"/>
    <w:lvl w:ilvl="0" w:tplc="64E03A32">
      <w:start w:val="1"/>
      <w:numFmt w:val="decimal"/>
      <w:lvlText w:val="%1."/>
      <w:lvlJc w:val="left"/>
      <w:pPr>
        <w:ind w:left="1776" w:hanging="360"/>
      </w:pPr>
      <w:rPr>
        <w:b/>
        <w:i/>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9" w15:restartNumberingAfterBreak="0">
    <w:nsid w:val="656E7DD8"/>
    <w:multiLevelType w:val="hybridMultilevel"/>
    <w:tmpl w:val="C11283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6436B79"/>
    <w:multiLevelType w:val="hybridMultilevel"/>
    <w:tmpl w:val="BC385B5C"/>
    <w:lvl w:ilvl="0" w:tplc="0C0A000B">
      <w:start w:val="1"/>
      <w:numFmt w:val="bullet"/>
      <w:lvlText w:val=""/>
      <w:lvlJc w:val="left"/>
      <w:pPr>
        <w:ind w:left="766" w:hanging="360"/>
      </w:pPr>
      <w:rPr>
        <w:rFonts w:ascii="Wingdings" w:hAnsi="Wingdings" w:hint="default"/>
      </w:rPr>
    </w:lvl>
    <w:lvl w:ilvl="1" w:tplc="0C0A0003">
      <w:start w:val="1"/>
      <w:numFmt w:val="bullet"/>
      <w:lvlText w:val="o"/>
      <w:lvlJc w:val="left"/>
      <w:pPr>
        <w:ind w:left="1486" w:hanging="360"/>
      </w:pPr>
      <w:rPr>
        <w:rFonts w:ascii="Courier New" w:hAnsi="Courier New" w:cs="Courier New" w:hint="default"/>
      </w:rPr>
    </w:lvl>
    <w:lvl w:ilvl="2" w:tplc="0C0A0005">
      <w:start w:val="1"/>
      <w:numFmt w:val="bullet"/>
      <w:lvlText w:val=""/>
      <w:lvlJc w:val="left"/>
      <w:pPr>
        <w:ind w:left="2206" w:hanging="360"/>
      </w:pPr>
      <w:rPr>
        <w:rFonts w:ascii="Wingdings" w:hAnsi="Wingdings" w:hint="default"/>
      </w:rPr>
    </w:lvl>
    <w:lvl w:ilvl="3" w:tplc="0C0A0001">
      <w:start w:val="1"/>
      <w:numFmt w:val="bullet"/>
      <w:lvlText w:val=""/>
      <w:lvlJc w:val="left"/>
      <w:pPr>
        <w:ind w:left="2926" w:hanging="360"/>
      </w:pPr>
      <w:rPr>
        <w:rFonts w:ascii="Symbol" w:hAnsi="Symbol" w:hint="default"/>
      </w:rPr>
    </w:lvl>
    <w:lvl w:ilvl="4" w:tplc="0C0A0003">
      <w:start w:val="1"/>
      <w:numFmt w:val="bullet"/>
      <w:lvlText w:val="o"/>
      <w:lvlJc w:val="left"/>
      <w:pPr>
        <w:ind w:left="3646" w:hanging="360"/>
      </w:pPr>
      <w:rPr>
        <w:rFonts w:ascii="Courier New" w:hAnsi="Courier New" w:cs="Courier New" w:hint="default"/>
      </w:rPr>
    </w:lvl>
    <w:lvl w:ilvl="5" w:tplc="0C0A0005">
      <w:start w:val="1"/>
      <w:numFmt w:val="bullet"/>
      <w:lvlText w:val=""/>
      <w:lvlJc w:val="left"/>
      <w:pPr>
        <w:ind w:left="4366" w:hanging="360"/>
      </w:pPr>
      <w:rPr>
        <w:rFonts w:ascii="Wingdings" w:hAnsi="Wingdings" w:hint="default"/>
      </w:rPr>
    </w:lvl>
    <w:lvl w:ilvl="6" w:tplc="0C0A0001">
      <w:start w:val="1"/>
      <w:numFmt w:val="bullet"/>
      <w:lvlText w:val=""/>
      <w:lvlJc w:val="left"/>
      <w:pPr>
        <w:ind w:left="5086" w:hanging="360"/>
      </w:pPr>
      <w:rPr>
        <w:rFonts w:ascii="Symbol" w:hAnsi="Symbol" w:hint="default"/>
      </w:rPr>
    </w:lvl>
    <w:lvl w:ilvl="7" w:tplc="0C0A0003">
      <w:start w:val="1"/>
      <w:numFmt w:val="bullet"/>
      <w:lvlText w:val="o"/>
      <w:lvlJc w:val="left"/>
      <w:pPr>
        <w:ind w:left="5806" w:hanging="360"/>
      </w:pPr>
      <w:rPr>
        <w:rFonts w:ascii="Courier New" w:hAnsi="Courier New" w:cs="Courier New" w:hint="default"/>
      </w:rPr>
    </w:lvl>
    <w:lvl w:ilvl="8" w:tplc="0C0A0005">
      <w:start w:val="1"/>
      <w:numFmt w:val="bullet"/>
      <w:lvlText w:val=""/>
      <w:lvlJc w:val="left"/>
      <w:pPr>
        <w:ind w:left="6526" w:hanging="360"/>
      </w:pPr>
      <w:rPr>
        <w:rFonts w:ascii="Wingdings" w:hAnsi="Wingdings" w:hint="default"/>
      </w:rPr>
    </w:lvl>
  </w:abstractNum>
  <w:abstractNum w:abstractNumId="31" w15:restartNumberingAfterBreak="0">
    <w:nsid w:val="6D1D3FE4"/>
    <w:multiLevelType w:val="hybridMultilevel"/>
    <w:tmpl w:val="D0F027C2"/>
    <w:lvl w:ilvl="0" w:tplc="4ECAF392">
      <w:start w:val="107"/>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D6C1B3D"/>
    <w:multiLevelType w:val="hybridMultilevel"/>
    <w:tmpl w:val="A8E6ED4C"/>
    <w:lvl w:ilvl="0" w:tplc="0C0A001B">
      <w:start w:val="1"/>
      <w:numFmt w:val="lowerRoman"/>
      <w:lvlText w:val="%1."/>
      <w:lvlJc w:val="right"/>
      <w:pPr>
        <w:ind w:left="928" w:hanging="360"/>
      </w:pPr>
      <w:rPr>
        <w:rFonts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33" w15:restartNumberingAfterBreak="0">
    <w:nsid w:val="71F359B4"/>
    <w:multiLevelType w:val="hybridMultilevel"/>
    <w:tmpl w:val="55224FD2"/>
    <w:lvl w:ilvl="0" w:tplc="0C0A0001">
      <w:start w:val="1"/>
      <w:numFmt w:val="bullet"/>
      <w:lvlText w:val=""/>
      <w:lvlJc w:val="left"/>
      <w:pPr>
        <w:ind w:left="2148" w:hanging="360"/>
      </w:pPr>
      <w:rPr>
        <w:rFonts w:ascii="Symbol" w:hAnsi="Symbol" w:hint="default"/>
      </w:rPr>
    </w:lvl>
    <w:lvl w:ilvl="1" w:tplc="0C0A0003" w:tentative="1">
      <w:start w:val="1"/>
      <w:numFmt w:val="bullet"/>
      <w:lvlText w:val="o"/>
      <w:lvlJc w:val="left"/>
      <w:pPr>
        <w:ind w:left="2868" w:hanging="360"/>
      </w:pPr>
      <w:rPr>
        <w:rFonts w:ascii="Courier New" w:hAnsi="Courier New" w:cs="Courier New" w:hint="default"/>
      </w:rPr>
    </w:lvl>
    <w:lvl w:ilvl="2" w:tplc="0C0A0005" w:tentative="1">
      <w:start w:val="1"/>
      <w:numFmt w:val="bullet"/>
      <w:lvlText w:val=""/>
      <w:lvlJc w:val="left"/>
      <w:pPr>
        <w:ind w:left="3588" w:hanging="360"/>
      </w:pPr>
      <w:rPr>
        <w:rFonts w:ascii="Wingdings" w:hAnsi="Wingdings" w:hint="default"/>
      </w:rPr>
    </w:lvl>
    <w:lvl w:ilvl="3" w:tplc="0C0A0001" w:tentative="1">
      <w:start w:val="1"/>
      <w:numFmt w:val="bullet"/>
      <w:lvlText w:val=""/>
      <w:lvlJc w:val="left"/>
      <w:pPr>
        <w:ind w:left="4308" w:hanging="360"/>
      </w:pPr>
      <w:rPr>
        <w:rFonts w:ascii="Symbol" w:hAnsi="Symbol" w:hint="default"/>
      </w:rPr>
    </w:lvl>
    <w:lvl w:ilvl="4" w:tplc="0C0A0003" w:tentative="1">
      <w:start w:val="1"/>
      <w:numFmt w:val="bullet"/>
      <w:lvlText w:val="o"/>
      <w:lvlJc w:val="left"/>
      <w:pPr>
        <w:ind w:left="5028" w:hanging="360"/>
      </w:pPr>
      <w:rPr>
        <w:rFonts w:ascii="Courier New" w:hAnsi="Courier New" w:cs="Courier New" w:hint="default"/>
      </w:rPr>
    </w:lvl>
    <w:lvl w:ilvl="5" w:tplc="0C0A0005" w:tentative="1">
      <w:start w:val="1"/>
      <w:numFmt w:val="bullet"/>
      <w:lvlText w:val=""/>
      <w:lvlJc w:val="left"/>
      <w:pPr>
        <w:ind w:left="5748" w:hanging="360"/>
      </w:pPr>
      <w:rPr>
        <w:rFonts w:ascii="Wingdings" w:hAnsi="Wingdings" w:hint="default"/>
      </w:rPr>
    </w:lvl>
    <w:lvl w:ilvl="6" w:tplc="0C0A0001" w:tentative="1">
      <w:start w:val="1"/>
      <w:numFmt w:val="bullet"/>
      <w:lvlText w:val=""/>
      <w:lvlJc w:val="left"/>
      <w:pPr>
        <w:ind w:left="6468" w:hanging="360"/>
      </w:pPr>
      <w:rPr>
        <w:rFonts w:ascii="Symbol" w:hAnsi="Symbol" w:hint="default"/>
      </w:rPr>
    </w:lvl>
    <w:lvl w:ilvl="7" w:tplc="0C0A0003" w:tentative="1">
      <w:start w:val="1"/>
      <w:numFmt w:val="bullet"/>
      <w:lvlText w:val="o"/>
      <w:lvlJc w:val="left"/>
      <w:pPr>
        <w:ind w:left="7188" w:hanging="360"/>
      </w:pPr>
      <w:rPr>
        <w:rFonts w:ascii="Courier New" w:hAnsi="Courier New" w:cs="Courier New" w:hint="default"/>
      </w:rPr>
    </w:lvl>
    <w:lvl w:ilvl="8" w:tplc="0C0A0005" w:tentative="1">
      <w:start w:val="1"/>
      <w:numFmt w:val="bullet"/>
      <w:lvlText w:val=""/>
      <w:lvlJc w:val="left"/>
      <w:pPr>
        <w:ind w:left="7908" w:hanging="360"/>
      </w:pPr>
      <w:rPr>
        <w:rFonts w:ascii="Wingdings" w:hAnsi="Wingdings" w:hint="default"/>
      </w:rPr>
    </w:lvl>
  </w:abstractNum>
  <w:abstractNum w:abstractNumId="34" w15:restartNumberingAfterBreak="0">
    <w:nsid w:val="76265954"/>
    <w:multiLevelType w:val="hybridMultilevel"/>
    <w:tmpl w:val="47EEC844"/>
    <w:lvl w:ilvl="0" w:tplc="0C0A000F">
      <w:start w:val="1"/>
      <w:numFmt w:val="decimal"/>
      <w:lvlText w:val="%1."/>
      <w:lvlJc w:val="left"/>
      <w:pPr>
        <w:ind w:left="1485"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5" w15:restartNumberingAfterBreak="0">
    <w:nsid w:val="7DA43F9A"/>
    <w:multiLevelType w:val="hybridMultilevel"/>
    <w:tmpl w:val="52D664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31"/>
  </w:num>
  <w:num w:numId="3">
    <w:abstractNumId w:val="20"/>
  </w:num>
  <w:num w:numId="4">
    <w:abstractNumId w:val="24"/>
  </w:num>
  <w:num w:numId="5">
    <w:abstractNumId w:val="2"/>
  </w:num>
  <w:num w:numId="6">
    <w:abstractNumId w:val="13"/>
  </w:num>
  <w:num w:numId="7">
    <w:abstractNumId w:val="32"/>
  </w:num>
  <w:num w:numId="8">
    <w:abstractNumId w:val="1"/>
  </w:num>
  <w:num w:numId="9">
    <w:abstractNumId w:val="26"/>
  </w:num>
  <w:num w:numId="10">
    <w:abstractNumId w:val="19"/>
  </w:num>
  <w:num w:numId="11">
    <w:abstractNumId w:val="21"/>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9"/>
  </w:num>
  <w:num w:numId="17">
    <w:abstractNumId w:val="9"/>
  </w:num>
  <w:num w:numId="18">
    <w:abstractNumId w:val="15"/>
  </w:num>
  <w:num w:numId="19">
    <w:abstractNumId w:val="25"/>
  </w:num>
  <w:num w:numId="20">
    <w:abstractNumId w:val="4"/>
  </w:num>
  <w:num w:numId="21">
    <w:abstractNumId w:val="14"/>
  </w:num>
  <w:num w:numId="22">
    <w:abstractNumId w:val="8"/>
  </w:num>
  <w:num w:numId="23">
    <w:abstractNumId w:val="22"/>
  </w:num>
  <w:num w:numId="24">
    <w:abstractNumId w:val="11"/>
  </w:num>
  <w:num w:numId="25">
    <w:abstractNumId w:val="33"/>
  </w:num>
  <w:num w:numId="26">
    <w:abstractNumId w:val="12"/>
  </w:num>
  <w:num w:numId="27">
    <w:abstractNumId w:val="10"/>
  </w:num>
  <w:num w:numId="28">
    <w:abstractNumId w:val="35"/>
  </w:num>
  <w:num w:numId="29">
    <w:abstractNumId w:val="5"/>
  </w:num>
  <w:num w:numId="30">
    <w:abstractNumId w:val="16"/>
  </w:num>
  <w:num w:numId="31">
    <w:abstractNumId w:val="18"/>
  </w:num>
  <w:num w:numId="32">
    <w:abstractNumId w:val="17"/>
  </w:num>
  <w:num w:numId="33">
    <w:abstractNumId w:val="23"/>
  </w:num>
  <w:num w:numId="34">
    <w:abstractNumId w:val="0"/>
  </w:num>
  <w:num w:numId="35">
    <w:abstractNumId w:val="30"/>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479"/>
    <w:rsid w:val="00010EFF"/>
    <w:rsid w:val="00016B85"/>
    <w:rsid w:val="000256C0"/>
    <w:rsid w:val="00032167"/>
    <w:rsid w:val="00043307"/>
    <w:rsid w:val="000444E2"/>
    <w:rsid w:val="000720D3"/>
    <w:rsid w:val="000A6A09"/>
    <w:rsid w:val="000B3DB2"/>
    <w:rsid w:val="000B725A"/>
    <w:rsid w:val="000C3633"/>
    <w:rsid w:val="000C4CC8"/>
    <w:rsid w:val="000D0439"/>
    <w:rsid w:val="000D31BE"/>
    <w:rsid w:val="000D449D"/>
    <w:rsid w:val="000D4ECD"/>
    <w:rsid w:val="000D712C"/>
    <w:rsid w:val="000E3B57"/>
    <w:rsid w:val="000E753C"/>
    <w:rsid w:val="000F570D"/>
    <w:rsid w:val="000F66ED"/>
    <w:rsid w:val="00105A58"/>
    <w:rsid w:val="00111429"/>
    <w:rsid w:val="00115D7D"/>
    <w:rsid w:val="00132808"/>
    <w:rsid w:val="0013487D"/>
    <w:rsid w:val="00136051"/>
    <w:rsid w:val="00157C7B"/>
    <w:rsid w:val="00175BBD"/>
    <w:rsid w:val="0017667D"/>
    <w:rsid w:val="00177E6E"/>
    <w:rsid w:val="0018139E"/>
    <w:rsid w:val="001827AD"/>
    <w:rsid w:val="001A5E3A"/>
    <w:rsid w:val="001C35AA"/>
    <w:rsid w:val="001D49A5"/>
    <w:rsid w:val="001F3755"/>
    <w:rsid w:val="001F3F07"/>
    <w:rsid w:val="00204C02"/>
    <w:rsid w:val="002074F6"/>
    <w:rsid w:val="00213365"/>
    <w:rsid w:val="00232C61"/>
    <w:rsid w:val="00236CB3"/>
    <w:rsid w:val="00241AC9"/>
    <w:rsid w:val="002443E6"/>
    <w:rsid w:val="002539A0"/>
    <w:rsid w:val="00273193"/>
    <w:rsid w:val="00274139"/>
    <w:rsid w:val="002B1F4F"/>
    <w:rsid w:val="002B6260"/>
    <w:rsid w:val="002C617E"/>
    <w:rsid w:val="002C6AE2"/>
    <w:rsid w:val="002C77D8"/>
    <w:rsid w:val="002C7A20"/>
    <w:rsid w:val="002F2813"/>
    <w:rsid w:val="00304A27"/>
    <w:rsid w:val="00313D84"/>
    <w:rsid w:val="003219D8"/>
    <w:rsid w:val="00342FE9"/>
    <w:rsid w:val="00353936"/>
    <w:rsid w:val="00357A82"/>
    <w:rsid w:val="0037467A"/>
    <w:rsid w:val="00375FBF"/>
    <w:rsid w:val="0038102E"/>
    <w:rsid w:val="00382CE9"/>
    <w:rsid w:val="003A0826"/>
    <w:rsid w:val="003A27A9"/>
    <w:rsid w:val="003A656D"/>
    <w:rsid w:val="003C094D"/>
    <w:rsid w:val="003D6F89"/>
    <w:rsid w:val="003D7ACB"/>
    <w:rsid w:val="00401A00"/>
    <w:rsid w:val="0040440B"/>
    <w:rsid w:val="0041591E"/>
    <w:rsid w:val="004218C0"/>
    <w:rsid w:val="00427EC9"/>
    <w:rsid w:val="00460DD8"/>
    <w:rsid w:val="00462843"/>
    <w:rsid w:val="00466C70"/>
    <w:rsid w:val="00474B93"/>
    <w:rsid w:val="00480A26"/>
    <w:rsid w:val="004922E2"/>
    <w:rsid w:val="00495EB5"/>
    <w:rsid w:val="004A1CB0"/>
    <w:rsid w:val="004A5D33"/>
    <w:rsid w:val="004B0BC7"/>
    <w:rsid w:val="004B49BA"/>
    <w:rsid w:val="004B6031"/>
    <w:rsid w:val="004C0859"/>
    <w:rsid w:val="004C7E66"/>
    <w:rsid w:val="004D370B"/>
    <w:rsid w:val="005066B1"/>
    <w:rsid w:val="0051190D"/>
    <w:rsid w:val="00535451"/>
    <w:rsid w:val="00553C4F"/>
    <w:rsid w:val="0055470B"/>
    <w:rsid w:val="00554BAC"/>
    <w:rsid w:val="005919BE"/>
    <w:rsid w:val="005931DA"/>
    <w:rsid w:val="00594884"/>
    <w:rsid w:val="005A61C5"/>
    <w:rsid w:val="005A76B9"/>
    <w:rsid w:val="005B6222"/>
    <w:rsid w:val="005D6474"/>
    <w:rsid w:val="005F0380"/>
    <w:rsid w:val="006010D8"/>
    <w:rsid w:val="00613FF7"/>
    <w:rsid w:val="00615F3A"/>
    <w:rsid w:val="006428D6"/>
    <w:rsid w:val="00643AB1"/>
    <w:rsid w:val="006478FC"/>
    <w:rsid w:val="006517AA"/>
    <w:rsid w:val="0065288B"/>
    <w:rsid w:val="006568CC"/>
    <w:rsid w:val="00663D28"/>
    <w:rsid w:val="0067784C"/>
    <w:rsid w:val="0068772D"/>
    <w:rsid w:val="0069036B"/>
    <w:rsid w:val="00691929"/>
    <w:rsid w:val="00694D5F"/>
    <w:rsid w:val="006A1D5F"/>
    <w:rsid w:val="006B3560"/>
    <w:rsid w:val="0070676E"/>
    <w:rsid w:val="00731552"/>
    <w:rsid w:val="0073438D"/>
    <w:rsid w:val="00734C3D"/>
    <w:rsid w:val="0074659F"/>
    <w:rsid w:val="00760D7D"/>
    <w:rsid w:val="007658D2"/>
    <w:rsid w:val="00771F28"/>
    <w:rsid w:val="007728A8"/>
    <w:rsid w:val="00777B07"/>
    <w:rsid w:val="00782BFD"/>
    <w:rsid w:val="00784B61"/>
    <w:rsid w:val="007A5046"/>
    <w:rsid w:val="007B113C"/>
    <w:rsid w:val="007B3D01"/>
    <w:rsid w:val="007B7BCA"/>
    <w:rsid w:val="007D495D"/>
    <w:rsid w:val="007E3D8D"/>
    <w:rsid w:val="007E55ED"/>
    <w:rsid w:val="00812B93"/>
    <w:rsid w:val="0081360E"/>
    <w:rsid w:val="00815909"/>
    <w:rsid w:val="008314C1"/>
    <w:rsid w:val="00831F3D"/>
    <w:rsid w:val="00833D5C"/>
    <w:rsid w:val="008413EA"/>
    <w:rsid w:val="00843503"/>
    <w:rsid w:val="00843EE3"/>
    <w:rsid w:val="00846497"/>
    <w:rsid w:val="008510F5"/>
    <w:rsid w:val="00864EF6"/>
    <w:rsid w:val="00865224"/>
    <w:rsid w:val="008A08C3"/>
    <w:rsid w:val="008A15EB"/>
    <w:rsid w:val="008A4DA0"/>
    <w:rsid w:val="008B3C0F"/>
    <w:rsid w:val="008B5825"/>
    <w:rsid w:val="008D45F0"/>
    <w:rsid w:val="008D750A"/>
    <w:rsid w:val="008E0523"/>
    <w:rsid w:val="008E355F"/>
    <w:rsid w:val="008F7B88"/>
    <w:rsid w:val="00910BB3"/>
    <w:rsid w:val="00921B23"/>
    <w:rsid w:val="00947177"/>
    <w:rsid w:val="00951300"/>
    <w:rsid w:val="0095580C"/>
    <w:rsid w:val="00962053"/>
    <w:rsid w:val="00972091"/>
    <w:rsid w:val="00975AF5"/>
    <w:rsid w:val="009A25AB"/>
    <w:rsid w:val="009A311B"/>
    <w:rsid w:val="009B0EB2"/>
    <w:rsid w:val="009B68B5"/>
    <w:rsid w:val="009D6FF7"/>
    <w:rsid w:val="009F60B1"/>
    <w:rsid w:val="00A0554E"/>
    <w:rsid w:val="00A0602F"/>
    <w:rsid w:val="00A1142A"/>
    <w:rsid w:val="00A12507"/>
    <w:rsid w:val="00A31F16"/>
    <w:rsid w:val="00A32517"/>
    <w:rsid w:val="00A41BB5"/>
    <w:rsid w:val="00A5047C"/>
    <w:rsid w:val="00A70EF4"/>
    <w:rsid w:val="00A71C1B"/>
    <w:rsid w:val="00A73E7C"/>
    <w:rsid w:val="00A84276"/>
    <w:rsid w:val="00A84632"/>
    <w:rsid w:val="00A97B8C"/>
    <w:rsid w:val="00AA2B99"/>
    <w:rsid w:val="00AB0354"/>
    <w:rsid w:val="00AE37A9"/>
    <w:rsid w:val="00AE442F"/>
    <w:rsid w:val="00AE4B94"/>
    <w:rsid w:val="00AF03C3"/>
    <w:rsid w:val="00AF1111"/>
    <w:rsid w:val="00AF55E4"/>
    <w:rsid w:val="00AF58F1"/>
    <w:rsid w:val="00B015D0"/>
    <w:rsid w:val="00B139F3"/>
    <w:rsid w:val="00B2504E"/>
    <w:rsid w:val="00B47479"/>
    <w:rsid w:val="00B53146"/>
    <w:rsid w:val="00B5517A"/>
    <w:rsid w:val="00B552C0"/>
    <w:rsid w:val="00B577C1"/>
    <w:rsid w:val="00B60B65"/>
    <w:rsid w:val="00B779B8"/>
    <w:rsid w:val="00B809A2"/>
    <w:rsid w:val="00BB145E"/>
    <w:rsid w:val="00BB686D"/>
    <w:rsid w:val="00BD1396"/>
    <w:rsid w:val="00BF0A96"/>
    <w:rsid w:val="00BF5418"/>
    <w:rsid w:val="00BF7962"/>
    <w:rsid w:val="00BF7A58"/>
    <w:rsid w:val="00C05B70"/>
    <w:rsid w:val="00C0682C"/>
    <w:rsid w:val="00C1697F"/>
    <w:rsid w:val="00C368BC"/>
    <w:rsid w:val="00C5372A"/>
    <w:rsid w:val="00C54C19"/>
    <w:rsid w:val="00C61316"/>
    <w:rsid w:val="00C61E28"/>
    <w:rsid w:val="00C97022"/>
    <w:rsid w:val="00C97758"/>
    <w:rsid w:val="00CD5807"/>
    <w:rsid w:val="00CD6B57"/>
    <w:rsid w:val="00CE5ABE"/>
    <w:rsid w:val="00D4248F"/>
    <w:rsid w:val="00D4321D"/>
    <w:rsid w:val="00D51D5B"/>
    <w:rsid w:val="00D52E40"/>
    <w:rsid w:val="00D53C5F"/>
    <w:rsid w:val="00D55C79"/>
    <w:rsid w:val="00D615D9"/>
    <w:rsid w:val="00D70438"/>
    <w:rsid w:val="00D8466C"/>
    <w:rsid w:val="00DA14B2"/>
    <w:rsid w:val="00DC3B00"/>
    <w:rsid w:val="00DD6227"/>
    <w:rsid w:val="00DE6A2A"/>
    <w:rsid w:val="00DE7556"/>
    <w:rsid w:val="00DF1179"/>
    <w:rsid w:val="00E10CC9"/>
    <w:rsid w:val="00E11BFD"/>
    <w:rsid w:val="00E14E21"/>
    <w:rsid w:val="00E25BDC"/>
    <w:rsid w:val="00E30286"/>
    <w:rsid w:val="00E3163E"/>
    <w:rsid w:val="00E340C9"/>
    <w:rsid w:val="00E37A6D"/>
    <w:rsid w:val="00E62C61"/>
    <w:rsid w:val="00E846B4"/>
    <w:rsid w:val="00EA104A"/>
    <w:rsid w:val="00EA2643"/>
    <w:rsid w:val="00EA453A"/>
    <w:rsid w:val="00EA53C4"/>
    <w:rsid w:val="00EB529D"/>
    <w:rsid w:val="00EC09C4"/>
    <w:rsid w:val="00ED52A1"/>
    <w:rsid w:val="00ED6AC3"/>
    <w:rsid w:val="00EE7B11"/>
    <w:rsid w:val="00EF5ED8"/>
    <w:rsid w:val="00F03229"/>
    <w:rsid w:val="00F04712"/>
    <w:rsid w:val="00F0513C"/>
    <w:rsid w:val="00F222BD"/>
    <w:rsid w:val="00F45CCA"/>
    <w:rsid w:val="00F47435"/>
    <w:rsid w:val="00F51A50"/>
    <w:rsid w:val="00F52077"/>
    <w:rsid w:val="00F57B54"/>
    <w:rsid w:val="00F61858"/>
    <w:rsid w:val="00F63A9B"/>
    <w:rsid w:val="00F7067A"/>
    <w:rsid w:val="00F77D62"/>
    <w:rsid w:val="00F80124"/>
    <w:rsid w:val="00F8167B"/>
    <w:rsid w:val="00F8395E"/>
    <w:rsid w:val="00FB1C2A"/>
    <w:rsid w:val="00FC2174"/>
    <w:rsid w:val="00FD23D9"/>
    <w:rsid w:val="00FD3179"/>
    <w:rsid w:val="00FF14FE"/>
    <w:rsid w:val="00FF575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31BFFA"/>
  <w14:defaultImageDpi w14:val="300"/>
  <w15:docId w15:val="{EA82B656-D159-44EC-93BD-C20AFE8D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HAnsi"/>
        <w:sz w:val="22"/>
        <w:szCs w:val="22"/>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59488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ar"/>
    <w:uiPriority w:val="9"/>
    <w:unhideWhenUsed/>
    <w:qFormat/>
    <w:rsid w:val="00594884"/>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tulo3">
    <w:name w:val="heading 3"/>
    <w:basedOn w:val="Normal"/>
    <w:next w:val="Normal"/>
    <w:link w:val="Ttulo3Car"/>
    <w:uiPriority w:val="9"/>
    <w:unhideWhenUsed/>
    <w:qFormat/>
    <w:rsid w:val="00594884"/>
    <w:pPr>
      <w:keepNext/>
      <w:keepLines/>
      <w:spacing w:before="200" w:line="276" w:lineRule="auto"/>
      <w:outlineLvl w:val="2"/>
    </w:pPr>
    <w:rPr>
      <w:rFonts w:asciiTheme="majorHAnsi" w:eastAsiaTheme="majorEastAsia" w:hAnsiTheme="majorHAnsi" w:cstheme="majorBidi"/>
      <w:b/>
      <w:bCs/>
      <w:color w:val="4F81BD" w:themeColor="accent1"/>
      <w:lang w:eastAsia="en-US"/>
    </w:rPr>
  </w:style>
  <w:style w:type="paragraph" w:styleId="Ttulo4">
    <w:name w:val="heading 4"/>
    <w:basedOn w:val="Normal"/>
    <w:next w:val="Normal"/>
    <w:link w:val="Ttulo4Car"/>
    <w:uiPriority w:val="9"/>
    <w:semiHidden/>
    <w:unhideWhenUsed/>
    <w:qFormat/>
    <w:rsid w:val="0004330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B47479"/>
    <w:pPr>
      <w:widowControl w:val="0"/>
      <w:ind w:left="20"/>
    </w:pPr>
    <w:rPr>
      <w:rFonts w:eastAsia="Calibri"/>
      <w:sz w:val="74"/>
      <w:szCs w:val="74"/>
      <w:lang w:val="en-US" w:eastAsia="en-US"/>
    </w:rPr>
  </w:style>
  <w:style w:type="character" w:customStyle="1" w:styleId="TextoindependienteCar">
    <w:name w:val="Texto independiente Car"/>
    <w:basedOn w:val="Fuentedeprrafopredeter"/>
    <w:link w:val="Textoindependiente"/>
    <w:uiPriority w:val="1"/>
    <w:rsid w:val="00B47479"/>
    <w:rPr>
      <w:rFonts w:ascii="Calibri" w:eastAsia="Calibri" w:hAnsi="Calibri"/>
      <w:sz w:val="74"/>
      <w:szCs w:val="74"/>
      <w:lang w:val="en-US" w:eastAsia="en-US"/>
    </w:rPr>
  </w:style>
  <w:style w:type="paragraph" w:styleId="Textodeglobo">
    <w:name w:val="Balloon Text"/>
    <w:basedOn w:val="Normal"/>
    <w:link w:val="TextodegloboCar"/>
    <w:uiPriority w:val="99"/>
    <w:semiHidden/>
    <w:unhideWhenUsed/>
    <w:rsid w:val="00B4747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47479"/>
    <w:rPr>
      <w:rFonts w:ascii="Lucida Grande" w:hAnsi="Lucida Grande" w:cs="Lucida Grande"/>
      <w:sz w:val="18"/>
      <w:szCs w:val="18"/>
    </w:rPr>
  </w:style>
  <w:style w:type="paragraph" w:styleId="Encabezado">
    <w:name w:val="header"/>
    <w:basedOn w:val="Normal"/>
    <w:link w:val="EncabezadoCar"/>
    <w:uiPriority w:val="99"/>
    <w:unhideWhenUsed/>
    <w:rsid w:val="000E753C"/>
    <w:pPr>
      <w:tabs>
        <w:tab w:val="center" w:pos="4252"/>
        <w:tab w:val="right" w:pos="8504"/>
      </w:tabs>
    </w:pPr>
  </w:style>
  <w:style w:type="character" w:customStyle="1" w:styleId="EncabezadoCar">
    <w:name w:val="Encabezado Car"/>
    <w:basedOn w:val="Fuentedeprrafopredeter"/>
    <w:link w:val="Encabezado"/>
    <w:uiPriority w:val="99"/>
    <w:rsid w:val="000E753C"/>
  </w:style>
  <w:style w:type="paragraph" w:styleId="Piedepgina">
    <w:name w:val="footer"/>
    <w:basedOn w:val="Normal"/>
    <w:link w:val="PiedepginaCar"/>
    <w:uiPriority w:val="99"/>
    <w:unhideWhenUsed/>
    <w:rsid w:val="000E753C"/>
    <w:pPr>
      <w:tabs>
        <w:tab w:val="center" w:pos="4252"/>
        <w:tab w:val="right" w:pos="8504"/>
      </w:tabs>
    </w:pPr>
  </w:style>
  <w:style w:type="character" w:customStyle="1" w:styleId="PiedepginaCar">
    <w:name w:val="Pie de página Car"/>
    <w:basedOn w:val="Fuentedeprrafopredeter"/>
    <w:link w:val="Piedepgina"/>
    <w:uiPriority w:val="99"/>
    <w:rsid w:val="000E753C"/>
  </w:style>
  <w:style w:type="character" w:customStyle="1" w:styleId="Ttulo1Car">
    <w:name w:val="Título 1 Car"/>
    <w:basedOn w:val="Fuentedeprrafopredeter"/>
    <w:link w:val="Ttulo1"/>
    <w:uiPriority w:val="9"/>
    <w:rsid w:val="00594884"/>
    <w:rPr>
      <w:rFonts w:asciiTheme="majorHAnsi" w:eastAsiaTheme="majorEastAsia" w:hAnsiTheme="majorHAnsi" w:cstheme="majorBidi"/>
      <w:b/>
      <w:bCs/>
      <w:color w:val="365F91" w:themeColor="accent1" w:themeShade="BF"/>
      <w:sz w:val="28"/>
      <w:szCs w:val="28"/>
      <w:lang w:eastAsia="en-US"/>
    </w:rPr>
  </w:style>
  <w:style w:type="character" w:customStyle="1" w:styleId="Ttulo2Car">
    <w:name w:val="Título 2 Car"/>
    <w:basedOn w:val="Fuentedeprrafopredeter"/>
    <w:link w:val="Ttulo2"/>
    <w:uiPriority w:val="9"/>
    <w:rsid w:val="00594884"/>
    <w:rPr>
      <w:rFonts w:asciiTheme="majorHAnsi" w:eastAsiaTheme="majorEastAsia" w:hAnsiTheme="majorHAnsi" w:cstheme="majorBidi"/>
      <w:b/>
      <w:bCs/>
      <w:color w:val="4F81BD" w:themeColor="accent1"/>
      <w:sz w:val="26"/>
      <w:szCs w:val="26"/>
      <w:lang w:eastAsia="en-US"/>
    </w:rPr>
  </w:style>
  <w:style w:type="character" w:customStyle="1" w:styleId="Ttulo3Car">
    <w:name w:val="Título 3 Car"/>
    <w:basedOn w:val="Fuentedeprrafopredeter"/>
    <w:link w:val="Ttulo3"/>
    <w:uiPriority w:val="9"/>
    <w:rsid w:val="00594884"/>
    <w:rPr>
      <w:rFonts w:asciiTheme="majorHAnsi" w:eastAsiaTheme="majorEastAsia" w:hAnsiTheme="majorHAnsi" w:cstheme="majorBidi"/>
      <w:b/>
      <w:bCs/>
      <w:color w:val="4F81BD" w:themeColor="accent1"/>
      <w:sz w:val="22"/>
      <w:szCs w:val="22"/>
      <w:lang w:eastAsia="en-US"/>
    </w:rPr>
  </w:style>
  <w:style w:type="paragraph" w:styleId="Prrafodelista">
    <w:name w:val="List Paragraph"/>
    <w:basedOn w:val="Normal"/>
    <w:link w:val="PrrafodelistaCar"/>
    <w:uiPriority w:val="34"/>
    <w:qFormat/>
    <w:rsid w:val="00594884"/>
    <w:pPr>
      <w:spacing w:after="200" w:line="276" w:lineRule="auto"/>
      <w:ind w:left="720"/>
      <w:contextualSpacing/>
    </w:pPr>
    <w:rPr>
      <w:rFonts w:eastAsiaTheme="minorHAnsi" w:cs="Times New Roman"/>
      <w:lang w:eastAsia="en-US"/>
    </w:rPr>
  </w:style>
  <w:style w:type="character" w:customStyle="1" w:styleId="PrrafodelistaCar">
    <w:name w:val="Párrafo de lista Car"/>
    <w:basedOn w:val="Fuentedeprrafopredeter"/>
    <w:link w:val="Prrafodelista"/>
    <w:uiPriority w:val="34"/>
    <w:rsid w:val="00594884"/>
    <w:rPr>
      <w:rFonts w:ascii="Calibri" w:eastAsiaTheme="minorHAnsi" w:hAnsi="Calibri" w:cs="Times New Roman"/>
      <w:sz w:val="22"/>
      <w:szCs w:val="22"/>
      <w:lang w:eastAsia="en-US"/>
    </w:rPr>
  </w:style>
  <w:style w:type="character" w:styleId="Hipervnculo">
    <w:name w:val="Hyperlink"/>
    <w:uiPriority w:val="99"/>
    <w:unhideWhenUsed/>
    <w:rsid w:val="00594884"/>
    <w:rPr>
      <w:color w:val="0000FF"/>
      <w:u w:val="single"/>
    </w:rPr>
  </w:style>
  <w:style w:type="paragraph" w:styleId="TtuloTDC">
    <w:name w:val="TOC Heading"/>
    <w:basedOn w:val="Ttulo1"/>
    <w:next w:val="Normal"/>
    <w:uiPriority w:val="39"/>
    <w:unhideWhenUsed/>
    <w:qFormat/>
    <w:rsid w:val="00594884"/>
    <w:pPr>
      <w:outlineLvl w:val="9"/>
    </w:pPr>
    <w:rPr>
      <w:lang w:eastAsia="es-ES"/>
    </w:rPr>
  </w:style>
  <w:style w:type="paragraph" w:styleId="TDC1">
    <w:name w:val="toc 1"/>
    <w:basedOn w:val="Normal"/>
    <w:next w:val="Normal"/>
    <w:autoRedefine/>
    <w:uiPriority w:val="39"/>
    <w:unhideWhenUsed/>
    <w:qFormat/>
    <w:rsid w:val="00594884"/>
    <w:pPr>
      <w:spacing w:after="100" w:line="276" w:lineRule="auto"/>
    </w:pPr>
    <w:rPr>
      <w:rFonts w:eastAsiaTheme="minorHAnsi" w:cs="Times New Roman"/>
      <w:lang w:eastAsia="en-US"/>
    </w:rPr>
  </w:style>
  <w:style w:type="paragraph" w:styleId="TDC2">
    <w:name w:val="toc 2"/>
    <w:basedOn w:val="Normal"/>
    <w:next w:val="Normal"/>
    <w:autoRedefine/>
    <w:uiPriority w:val="39"/>
    <w:unhideWhenUsed/>
    <w:qFormat/>
    <w:rsid w:val="00594884"/>
    <w:pPr>
      <w:spacing w:after="100" w:line="276" w:lineRule="auto"/>
      <w:ind w:left="220"/>
    </w:pPr>
    <w:rPr>
      <w:rFonts w:eastAsiaTheme="minorHAnsi" w:cs="Times New Roman"/>
      <w:lang w:eastAsia="en-US"/>
    </w:rPr>
  </w:style>
  <w:style w:type="paragraph" w:customStyle="1" w:styleId="Default">
    <w:name w:val="Default"/>
    <w:rsid w:val="00594884"/>
    <w:pPr>
      <w:autoSpaceDE w:val="0"/>
      <w:autoSpaceDN w:val="0"/>
      <w:adjustRightInd w:val="0"/>
    </w:pPr>
    <w:rPr>
      <w:rFonts w:ascii="Arial" w:eastAsiaTheme="minorHAnsi" w:hAnsi="Arial" w:cs="Arial"/>
      <w:color w:val="000000"/>
      <w:lang w:eastAsia="en-US"/>
    </w:rPr>
  </w:style>
  <w:style w:type="paragraph" w:styleId="TDC3">
    <w:name w:val="toc 3"/>
    <w:basedOn w:val="Normal"/>
    <w:next w:val="Normal"/>
    <w:autoRedefine/>
    <w:uiPriority w:val="39"/>
    <w:unhideWhenUsed/>
    <w:qFormat/>
    <w:rsid w:val="00594884"/>
    <w:pPr>
      <w:spacing w:after="100" w:line="276" w:lineRule="auto"/>
      <w:ind w:left="440"/>
    </w:pPr>
    <w:rPr>
      <w:rFonts w:eastAsiaTheme="minorHAnsi" w:cs="Times New Roman"/>
      <w:lang w:eastAsia="en-US"/>
    </w:rPr>
  </w:style>
  <w:style w:type="character" w:styleId="Refdecomentario">
    <w:name w:val="annotation reference"/>
    <w:basedOn w:val="Fuentedeprrafopredeter"/>
    <w:uiPriority w:val="99"/>
    <w:semiHidden/>
    <w:unhideWhenUsed/>
    <w:rsid w:val="00FB1C2A"/>
    <w:rPr>
      <w:sz w:val="16"/>
      <w:szCs w:val="16"/>
    </w:rPr>
  </w:style>
  <w:style w:type="paragraph" w:styleId="Textocomentario">
    <w:name w:val="annotation text"/>
    <w:basedOn w:val="Normal"/>
    <w:link w:val="TextocomentarioCar"/>
    <w:uiPriority w:val="99"/>
    <w:unhideWhenUsed/>
    <w:rsid w:val="00FB1C2A"/>
    <w:rPr>
      <w:sz w:val="20"/>
      <w:szCs w:val="20"/>
    </w:rPr>
  </w:style>
  <w:style w:type="character" w:customStyle="1" w:styleId="TextocomentarioCar">
    <w:name w:val="Texto comentario Car"/>
    <w:basedOn w:val="Fuentedeprrafopredeter"/>
    <w:link w:val="Textocomentario"/>
    <w:uiPriority w:val="99"/>
    <w:rsid w:val="00FB1C2A"/>
    <w:rPr>
      <w:sz w:val="20"/>
      <w:szCs w:val="20"/>
    </w:rPr>
  </w:style>
  <w:style w:type="paragraph" w:styleId="Asuntodelcomentario">
    <w:name w:val="annotation subject"/>
    <w:basedOn w:val="Textocomentario"/>
    <w:next w:val="Textocomentario"/>
    <w:link w:val="AsuntodelcomentarioCar"/>
    <w:uiPriority w:val="99"/>
    <w:semiHidden/>
    <w:unhideWhenUsed/>
    <w:rsid w:val="00FB1C2A"/>
    <w:rPr>
      <w:b/>
      <w:bCs/>
    </w:rPr>
  </w:style>
  <w:style w:type="character" w:customStyle="1" w:styleId="AsuntodelcomentarioCar">
    <w:name w:val="Asunto del comentario Car"/>
    <w:basedOn w:val="TextocomentarioCar"/>
    <w:link w:val="Asuntodelcomentario"/>
    <w:uiPriority w:val="99"/>
    <w:semiHidden/>
    <w:rsid w:val="00FB1C2A"/>
    <w:rPr>
      <w:b/>
      <w:bCs/>
      <w:sz w:val="20"/>
      <w:szCs w:val="20"/>
    </w:rPr>
  </w:style>
  <w:style w:type="paragraph" w:styleId="Textonotapie">
    <w:name w:val="footnote text"/>
    <w:basedOn w:val="Normal"/>
    <w:link w:val="TextonotapieCar"/>
    <w:uiPriority w:val="99"/>
    <w:unhideWhenUsed/>
    <w:qFormat/>
    <w:rsid w:val="00E37A6D"/>
    <w:pPr>
      <w:spacing w:before="40"/>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uiPriority w:val="99"/>
    <w:rsid w:val="00E37A6D"/>
    <w:rPr>
      <w:rFonts w:ascii="Times New Roman" w:eastAsia="Times New Roman" w:hAnsi="Times New Roman" w:cs="Times New Roman"/>
      <w:sz w:val="20"/>
      <w:szCs w:val="20"/>
    </w:rPr>
  </w:style>
  <w:style w:type="character" w:styleId="Refdenotaalpie">
    <w:name w:val="footnote reference"/>
    <w:unhideWhenUsed/>
    <w:rsid w:val="00E37A6D"/>
    <w:rPr>
      <w:vertAlign w:val="superscript"/>
    </w:rPr>
  </w:style>
  <w:style w:type="paragraph" w:styleId="Textonotaalfinal">
    <w:name w:val="endnote text"/>
    <w:basedOn w:val="Normal"/>
    <w:link w:val="TextonotaalfinalCar"/>
    <w:uiPriority w:val="99"/>
    <w:semiHidden/>
    <w:unhideWhenUsed/>
    <w:rsid w:val="00E37A6D"/>
    <w:rPr>
      <w:rFonts w:eastAsiaTheme="minorHAnsi" w:cs="Times New Roman"/>
      <w:sz w:val="20"/>
      <w:szCs w:val="20"/>
      <w:lang w:eastAsia="en-US"/>
    </w:rPr>
  </w:style>
  <w:style w:type="character" w:customStyle="1" w:styleId="TextonotaalfinalCar">
    <w:name w:val="Texto nota al final Car"/>
    <w:basedOn w:val="Fuentedeprrafopredeter"/>
    <w:link w:val="Textonotaalfinal"/>
    <w:uiPriority w:val="99"/>
    <w:semiHidden/>
    <w:rsid w:val="00E37A6D"/>
    <w:rPr>
      <w:rFonts w:eastAsiaTheme="minorHAnsi" w:cs="Times New Roman"/>
      <w:sz w:val="20"/>
      <w:szCs w:val="20"/>
      <w:lang w:eastAsia="en-US"/>
    </w:rPr>
  </w:style>
  <w:style w:type="character" w:styleId="Refdenotaalfinal">
    <w:name w:val="endnote reference"/>
    <w:basedOn w:val="Fuentedeprrafopredeter"/>
    <w:uiPriority w:val="99"/>
    <w:semiHidden/>
    <w:unhideWhenUsed/>
    <w:rsid w:val="00E37A6D"/>
    <w:rPr>
      <w:vertAlign w:val="superscript"/>
    </w:rPr>
  </w:style>
  <w:style w:type="paragraph" w:customStyle="1" w:styleId="Body2">
    <w:name w:val="Body 2"/>
    <w:basedOn w:val="Normal"/>
    <w:link w:val="Body2Char"/>
    <w:qFormat/>
    <w:rsid w:val="00E37A6D"/>
    <w:pPr>
      <w:spacing w:after="210" w:line="264" w:lineRule="auto"/>
      <w:ind w:left="709"/>
      <w:jc w:val="both"/>
    </w:pPr>
    <w:rPr>
      <w:rFonts w:ascii="Arial" w:eastAsia="Arial Unicode MS" w:hAnsi="Arial" w:cs="Times New Roman"/>
      <w:sz w:val="21"/>
      <w:szCs w:val="21"/>
      <w:lang w:val="es-ES_tradnl" w:eastAsia="en-GB"/>
    </w:rPr>
  </w:style>
  <w:style w:type="character" w:customStyle="1" w:styleId="Body2Char">
    <w:name w:val="Body 2 Char"/>
    <w:basedOn w:val="Fuentedeprrafopredeter"/>
    <w:link w:val="Body2"/>
    <w:rsid w:val="00E37A6D"/>
    <w:rPr>
      <w:rFonts w:ascii="Arial" w:eastAsia="Arial Unicode MS" w:hAnsi="Arial" w:cs="Times New Roman"/>
      <w:sz w:val="21"/>
      <w:szCs w:val="21"/>
      <w:lang w:val="es-ES_tradnl" w:eastAsia="en-GB"/>
    </w:rPr>
  </w:style>
  <w:style w:type="character" w:customStyle="1" w:styleId="NormalBoldChar">
    <w:name w:val="NormalBold Char"/>
    <w:link w:val="NormalBold"/>
    <w:locked/>
    <w:rsid w:val="00771F28"/>
    <w:rPr>
      <w:b/>
      <w:sz w:val="24"/>
      <w:lang w:eastAsia="en-GB"/>
    </w:rPr>
  </w:style>
  <w:style w:type="paragraph" w:customStyle="1" w:styleId="NormalBold">
    <w:name w:val="NormalBold"/>
    <w:basedOn w:val="Normal"/>
    <w:link w:val="NormalBoldChar"/>
    <w:rsid w:val="00771F28"/>
    <w:pPr>
      <w:widowControl w:val="0"/>
    </w:pPr>
    <w:rPr>
      <w:b/>
      <w:sz w:val="24"/>
      <w:lang w:eastAsia="en-GB"/>
    </w:rPr>
  </w:style>
  <w:style w:type="character" w:styleId="nfasis">
    <w:name w:val="Emphasis"/>
    <w:basedOn w:val="Fuentedeprrafopredeter"/>
    <w:uiPriority w:val="20"/>
    <w:qFormat/>
    <w:rsid w:val="00357A82"/>
    <w:rPr>
      <w:i/>
      <w:iCs/>
    </w:rPr>
  </w:style>
  <w:style w:type="character" w:styleId="Textoennegrita">
    <w:name w:val="Strong"/>
    <w:basedOn w:val="Fuentedeprrafopredeter"/>
    <w:uiPriority w:val="22"/>
    <w:qFormat/>
    <w:rsid w:val="00357A82"/>
    <w:rPr>
      <w:b/>
      <w:bCs/>
    </w:rPr>
  </w:style>
  <w:style w:type="character" w:styleId="Mencinsinresolver">
    <w:name w:val="Unresolved Mention"/>
    <w:basedOn w:val="Fuentedeprrafopredeter"/>
    <w:uiPriority w:val="99"/>
    <w:semiHidden/>
    <w:unhideWhenUsed/>
    <w:rsid w:val="00111429"/>
    <w:rPr>
      <w:color w:val="605E5C"/>
      <w:shd w:val="clear" w:color="auto" w:fill="E1DFDD"/>
    </w:rPr>
  </w:style>
  <w:style w:type="character" w:styleId="Hipervnculovisitado">
    <w:name w:val="FollowedHyperlink"/>
    <w:basedOn w:val="Fuentedeprrafopredeter"/>
    <w:uiPriority w:val="99"/>
    <w:semiHidden/>
    <w:unhideWhenUsed/>
    <w:rsid w:val="00111429"/>
    <w:rPr>
      <w:color w:val="800080" w:themeColor="followedHyperlink"/>
      <w:u w:val="single"/>
    </w:rPr>
  </w:style>
  <w:style w:type="character" w:customStyle="1" w:styleId="Ttulo4Car">
    <w:name w:val="Título 4 Car"/>
    <w:basedOn w:val="Fuentedeprrafopredeter"/>
    <w:link w:val="Ttulo4"/>
    <w:uiPriority w:val="9"/>
    <w:semiHidden/>
    <w:rsid w:val="0004330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29797">
      <w:bodyDiv w:val="1"/>
      <w:marLeft w:val="0"/>
      <w:marRight w:val="0"/>
      <w:marTop w:val="0"/>
      <w:marBottom w:val="0"/>
      <w:divBdr>
        <w:top w:val="none" w:sz="0" w:space="0" w:color="auto"/>
        <w:left w:val="none" w:sz="0" w:space="0" w:color="auto"/>
        <w:bottom w:val="none" w:sz="0" w:space="0" w:color="auto"/>
        <w:right w:val="none" w:sz="0" w:space="0" w:color="auto"/>
      </w:divBdr>
    </w:div>
    <w:div w:id="88477958">
      <w:bodyDiv w:val="1"/>
      <w:marLeft w:val="0"/>
      <w:marRight w:val="0"/>
      <w:marTop w:val="0"/>
      <w:marBottom w:val="0"/>
      <w:divBdr>
        <w:top w:val="none" w:sz="0" w:space="0" w:color="auto"/>
        <w:left w:val="none" w:sz="0" w:space="0" w:color="auto"/>
        <w:bottom w:val="none" w:sz="0" w:space="0" w:color="auto"/>
        <w:right w:val="none" w:sz="0" w:space="0" w:color="auto"/>
      </w:divBdr>
    </w:div>
    <w:div w:id="89787939">
      <w:bodyDiv w:val="1"/>
      <w:marLeft w:val="0"/>
      <w:marRight w:val="0"/>
      <w:marTop w:val="0"/>
      <w:marBottom w:val="0"/>
      <w:divBdr>
        <w:top w:val="none" w:sz="0" w:space="0" w:color="auto"/>
        <w:left w:val="none" w:sz="0" w:space="0" w:color="auto"/>
        <w:bottom w:val="none" w:sz="0" w:space="0" w:color="auto"/>
        <w:right w:val="none" w:sz="0" w:space="0" w:color="auto"/>
      </w:divBdr>
    </w:div>
    <w:div w:id="238298649">
      <w:bodyDiv w:val="1"/>
      <w:marLeft w:val="0"/>
      <w:marRight w:val="0"/>
      <w:marTop w:val="0"/>
      <w:marBottom w:val="0"/>
      <w:divBdr>
        <w:top w:val="none" w:sz="0" w:space="0" w:color="auto"/>
        <w:left w:val="none" w:sz="0" w:space="0" w:color="auto"/>
        <w:bottom w:val="none" w:sz="0" w:space="0" w:color="auto"/>
        <w:right w:val="none" w:sz="0" w:space="0" w:color="auto"/>
      </w:divBdr>
    </w:div>
    <w:div w:id="399987395">
      <w:bodyDiv w:val="1"/>
      <w:marLeft w:val="0"/>
      <w:marRight w:val="0"/>
      <w:marTop w:val="0"/>
      <w:marBottom w:val="0"/>
      <w:divBdr>
        <w:top w:val="none" w:sz="0" w:space="0" w:color="auto"/>
        <w:left w:val="none" w:sz="0" w:space="0" w:color="auto"/>
        <w:bottom w:val="none" w:sz="0" w:space="0" w:color="auto"/>
        <w:right w:val="none" w:sz="0" w:space="0" w:color="auto"/>
      </w:divBdr>
    </w:div>
    <w:div w:id="1260455624">
      <w:bodyDiv w:val="1"/>
      <w:marLeft w:val="0"/>
      <w:marRight w:val="0"/>
      <w:marTop w:val="0"/>
      <w:marBottom w:val="0"/>
      <w:divBdr>
        <w:top w:val="none" w:sz="0" w:space="0" w:color="auto"/>
        <w:left w:val="none" w:sz="0" w:space="0" w:color="auto"/>
        <w:bottom w:val="none" w:sz="0" w:space="0" w:color="auto"/>
        <w:right w:val="none" w:sz="0" w:space="0" w:color="auto"/>
      </w:divBdr>
    </w:div>
    <w:div w:id="1907106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iteco.gob.es/es/calidad-y-evaluacion-ambiental/participacion-publica/Residuos-2018-Proyecto-RD-modifica-ley-11-1997-24-abril-EnvaResiEnva-RD-782-1998-30-abril-aprueba-reglamento-desarrollo-ejecucion-ley-11-1997.aspx"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5FA6F-0763-44AF-8CE5-DB432E128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17</Pages>
  <Words>5928</Words>
  <Characters>32606</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Rodriguez</dc:creator>
  <cp:lastModifiedBy>Rodríguez Gutierrez, Eva</cp:lastModifiedBy>
  <cp:revision>96</cp:revision>
  <cp:lastPrinted>2018-10-16T14:40:00Z</cp:lastPrinted>
  <dcterms:created xsi:type="dcterms:W3CDTF">2017-03-06T13:33:00Z</dcterms:created>
  <dcterms:modified xsi:type="dcterms:W3CDTF">2018-10-16T14:45:00Z</dcterms:modified>
</cp:coreProperties>
</file>